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5FB5F" w14:textId="77777777" w:rsidR="00277DE9" w:rsidRPr="00277DE9" w:rsidRDefault="00277DE9" w:rsidP="00277DE9">
      <w:pPr>
        <w:spacing w:after="0" w:line="276" w:lineRule="auto"/>
        <w:jc w:val="center"/>
        <w:rPr>
          <w:b/>
          <w:bCs/>
        </w:rPr>
      </w:pPr>
      <w:r w:rsidRPr="00277DE9">
        <w:rPr>
          <w:b/>
          <w:bCs/>
        </w:rPr>
        <w:t>UNIVERSITY OF ABERDEEN</w:t>
      </w:r>
    </w:p>
    <w:p w14:paraId="1A792A4E" w14:textId="77777777" w:rsidR="00277DE9" w:rsidRPr="00277DE9" w:rsidRDefault="00277DE9" w:rsidP="00277DE9">
      <w:pPr>
        <w:spacing w:after="0" w:line="276" w:lineRule="auto"/>
        <w:jc w:val="center"/>
        <w:rPr>
          <w:b/>
          <w:bCs/>
        </w:rPr>
      </w:pPr>
    </w:p>
    <w:p w14:paraId="3558AE0F" w14:textId="77777777" w:rsidR="00277DE9" w:rsidRPr="00277DE9" w:rsidRDefault="00277DE9" w:rsidP="00277DE9">
      <w:pPr>
        <w:spacing w:after="0" w:line="276" w:lineRule="auto"/>
        <w:jc w:val="center"/>
        <w:rPr>
          <w:b/>
          <w:bCs/>
        </w:rPr>
      </w:pPr>
      <w:r w:rsidRPr="00277DE9">
        <w:rPr>
          <w:b/>
          <w:bCs/>
        </w:rPr>
        <w:t>PUBLIC SECTOR EQUALITY DUTY REPORT 202</w:t>
      </w:r>
      <w:r w:rsidRPr="00277DE9">
        <w:rPr>
          <w:b/>
          <w:bCs/>
        </w:rPr>
        <w:t>3</w:t>
      </w:r>
    </w:p>
    <w:p w14:paraId="261A3703" w14:textId="77777777" w:rsidR="00277DE9" w:rsidRPr="00277DE9" w:rsidRDefault="00277DE9" w:rsidP="00277DE9">
      <w:pPr>
        <w:spacing w:after="0" w:line="276" w:lineRule="auto"/>
        <w:jc w:val="center"/>
        <w:rPr>
          <w:b/>
          <w:bCs/>
        </w:rPr>
      </w:pPr>
    </w:p>
    <w:p w14:paraId="56BD4575" w14:textId="77777777" w:rsidR="00277DE9" w:rsidRPr="00277DE9" w:rsidRDefault="00277DE9" w:rsidP="00277DE9">
      <w:pPr>
        <w:spacing w:after="0" w:line="276" w:lineRule="auto"/>
        <w:jc w:val="center"/>
        <w:rPr>
          <w:b/>
          <w:bCs/>
        </w:rPr>
      </w:pPr>
      <w:r>
        <w:rPr>
          <w:b/>
          <w:bCs/>
        </w:rPr>
        <w:t xml:space="preserve">3.1.1 </w:t>
      </w:r>
      <w:r w:rsidRPr="00277DE9">
        <w:rPr>
          <w:b/>
          <w:bCs/>
        </w:rPr>
        <w:t>COURT DIVERSITY AND COMPLIANCE WITH THE GENDER REPRESENTATION ON PUBLIC BOARDS (SCOTLAND) ACT 2018</w:t>
      </w:r>
    </w:p>
    <w:p w14:paraId="361E6B67" w14:textId="77777777" w:rsidR="00277DE9" w:rsidRDefault="00277DE9" w:rsidP="00277DE9">
      <w:pPr>
        <w:pStyle w:val="ListParagraph"/>
        <w:spacing w:after="0" w:line="276" w:lineRule="auto"/>
        <w:ind w:left="1247"/>
        <w:rPr>
          <w:rFonts w:ascii="Arial" w:hAnsi="Arial" w:cs="Arial"/>
          <w:b/>
          <w:bCs/>
          <w:sz w:val="24"/>
          <w:szCs w:val="24"/>
        </w:rPr>
      </w:pPr>
    </w:p>
    <w:p w14:paraId="480B1659" w14:textId="77777777" w:rsidR="00277DE9" w:rsidRPr="00874619" w:rsidRDefault="00277DE9" w:rsidP="00277DE9">
      <w:pPr>
        <w:pStyle w:val="ListParagraph"/>
        <w:numPr>
          <w:ilvl w:val="0"/>
          <w:numId w:val="1"/>
        </w:numPr>
        <w:spacing w:after="0" w:line="276" w:lineRule="auto"/>
        <w:rPr>
          <w:rFonts w:ascii="Arial" w:hAnsi="Arial" w:cs="Arial"/>
          <w:b/>
          <w:bCs/>
          <w:sz w:val="24"/>
          <w:szCs w:val="24"/>
        </w:rPr>
      </w:pPr>
      <w:r w:rsidRPr="00874619">
        <w:rPr>
          <w:rFonts w:ascii="Arial" w:hAnsi="Arial" w:cs="Arial"/>
          <w:sz w:val="24"/>
          <w:szCs w:val="24"/>
        </w:rPr>
        <w:t>The University has continued to improve the diversity profile of Court, its governing body, since the last report in 2021, consistent with the commitment articulated in the Court Statement of Intent on Diversity. This sets out the Court’s commitment for its own membership to reflect the diverse nature of the University community insofar as is possible and practicable.</w:t>
      </w:r>
    </w:p>
    <w:p w14:paraId="6C653C8E" w14:textId="77777777" w:rsidR="00277DE9" w:rsidRPr="00DB6369" w:rsidRDefault="00277DE9" w:rsidP="00277DE9">
      <w:pPr>
        <w:spacing w:after="0" w:line="276" w:lineRule="auto"/>
        <w:contextualSpacing/>
        <w:rPr>
          <w:rFonts w:ascii="Arial" w:hAnsi="Arial" w:cs="Arial"/>
          <w:sz w:val="24"/>
          <w:szCs w:val="24"/>
        </w:rPr>
      </w:pPr>
    </w:p>
    <w:p w14:paraId="02D106D4" w14:textId="77777777" w:rsidR="00277DE9" w:rsidRDefault="00277DE9" w:rsidP="00277DE9">
      <w:pPr>
        <w:pStyle w:val="ListParagraph"/>
        <w:numPr>
          <w:ilvl w:val="0"/>
          <w:numId w:val="1"/>
        </w:numPr>
        <w:spacing w:after="0" w:line="276" w:lineRule="auto"/>
        <w:rPr>
          <w:rFonts w:ascii="Arial" w:hAnsi="Arial" w:cs="Arial"/>
          <w:sz w:val="24"/>
          <w:szCs w:val="24"/>
        </w:rPr>
      </w:pPr>
      <w:r w:rsidRPr="00DB6369">
        <w:rPr>
          <w:rFonts w:ascii="Arial" w:hAnsi="Arial" w:cs="Arial"/>
          <w:sz w:val="24"/>
          <w:szCs w:val="24"/>
        </w:rPr>
        <w:t>Across its membership, the Court’s gender balance on 31 July 2022 was 48% female, 52% male and the Court has continued to achieve gender balance in its appointed independent membership</w:t>
      </w:r>
      <w:r>
        <w:rPr>
          <w:rFonts w:ascii="Arial" w:hAnsi="Arial" w:cs="Arial"/>
          <w:sz w:val="24"/>
          <w:szCs w:val="24"/>
        </w:rPr>
        <w:t xml:space="preserve"> </w:t>
      </w:r>
      <w:r w:rsidRPr="00DB6369">
        <w:rPr>
          <w:rFonts w:ascii="Arial" w:hAnsi="Arial" w:cs="Arial"/>
          <w:sz w:val="24"/>
          <w:szCs w:val="24"/>
        </w:rPr>
        <w:t>consistent with the objective of the Gender Representation on Public Boards (Scotland) Act</w:t>
      </w:r>
      <w:r>
        <w:rPr>
          <w:rFonts w:ascii="Arial" w:hAnsi="Arial" w:cs="Arial"/>
          <w:sz w:val="24"/>
          <w:szCs w:val="24"/>
        </w:rPr>
        <w:t xml:space="preserve"> 2018</w:t>
      </w:r>
      <w:r w:rsidRPr="00DB6369">
        <w:rPr>
          <w:rFonts w:ascii="Arial" w:hAnsi="Arial" w:cs="Arial"/>
          <w:sz w:val="24"/>
          <w:szCs w:val="24"/>
        </w:rPr>
        <w:t xml:space="preserve">. The diversity of the Court’s ethnicity has also been enhanced with 12% of its membership </w:t>
      </w:r>
      <w:r>
        <w:rPr>
          <w:rFonts w:ascii="Arial" w:hAnsi="Arial" w:cs="Arial"/>
          <w:sz w:val="24"/>
          <w:szCs w:val="24"/>
        </w:rPr>
        <w:t xml:space="preserve">identifying as </w:t>
      </w:r>
      <w:r w:rsidRPr="00DB6369">
        <w:rPr>
          <w:rFonts w:ascii="Arial" w:hAnsi="Arial" w:cs="Arial"/>
          <w:sz w:val="24"/>
          <w:szCs w:val="24"/>
        </w:rPr>
        <w:t>Black ethnic origin as of 31 July 2022.</w:t>
      </w:r>
    </w:p>
    <w:p w14:paraId="27FFB494" w14:textId="77777777" w:rsidR="00277DE9" w:rsidRPr="004709D3" w:rsidRDefault="00277DE9" w:rsidP="00277DE9">
      <w:pPr>
        <w:pStyle w:val="ListParagraph"/>
        <w:rPr>
          <w:rFonts w:ascii="Arial" w:hAnsi="Arial" w:cs="Arial"/>
          <w:sz w:val="24"/>
          <w:szCs w:val="24"/>
        </w:rPr>
      </w:pPr>
    </w:p>
    <w:p w14:paraId="17BF6923" w14:textId="77777777" w:rsidR="00277DE9" w:rsidRDefault="00277DE9" w:rsidP="00277DE9">
      <w:pPr>
        <w:pStyle w:val="ListParagraph"/>
        <w:numPr>
          <w:ilvl w:val="0"/>
          <w:numId w:val="1"/>
        </w:numPr>
        <w:spacing w:after="0" w:line="276" w:lineRule="auto"/>
        <w:rPr>
          <w:rFonts w:ascii="Arial" w:hAnsi="Arial" w:cs="Arial"/>
          <w:sz w:val="24"/>
          <w:szCs w:val="24"/>
        </w:rPr>
      </w:pPr>
      <w:r w:rsidRPr="004709D3">
        <w:rPr>
          <w:rFonts w:ascii="Arial" w:hAnsi="Arial" w:cs="Arial"/>
          <w:sz w:val="24"/>
          <w:szCs w:val="24"/>
        </w:rPr>
        <w:t xml:space="preserve">In support of recent recruitment processes to independent member positions, the University undertook measures to increase awareness of the </w:t>
      </w:r>
      <w:r>
        <w:rPr>
          <w:rFonts w:ascii="Arial" w:hAnsi="Arial" w:cs="Arial"/>
          <w:sz w:val="24"/>
          <w:szCs w:val="24"/>
        </w:rPr>
        <w:t xml:space="preserve">vacant </w:t>
      </w:r>
      <w:r w:rsidRPr="004709D3">
        <w:rPr>
          <w:rFonts w:ascii="Arial" w:hAnsi="Arial" w:cs="Arial"/>
          <w:sz w:val="24"/>
          <w:szCs w:val="24"/>
        </w:rPr>
        <w:t>positions among under-represented groups.  The Court’s Governance and Nominations Committee identified the need to be proactive in encouraging more female candidates and candidates from racialised groups. The role description, person specification and advertisement were reviewed to ensure they were inclusive and to emphasise the diversity of the University community and the Court’s wish to encourage applications from women and individuals from protected characteristic groups that were under-represented on Court. The range of advertising networks used beyond mainstream print media was also reviewed to include professional networks for women and other under-represented groups. The prioritisation of encouraging a diverse field of applicants was a key part of the project brief to the recruitment consultants used by the University and interviews were conducted through a gender balanced panel.</w:t>
      </w:r>
    </w:p>
    <w:p w14:paraId="25312641" w14:textId="77777777" w:rsidR="00277DE9" w:rsidRPr="004709D3" w:rsidRDefault="00277DE9" w:rsidP="00277DE9">
      <w:pPr>
        <w:pStyle w:val="ListParagraph"/>
        <w:rPr>
          <w:rFonts w:ascii="Arial" w:hAnsi="Arial" w:cs="Arial"/>
          <w:sz w:val="24"/>
          <w:szCs w:val="24"/>
        </w:rPr>
      </w:pPr>
    </w:p>
    <w:p w14:paraId="69954A7A" w14:textId="77777777" w:rsidR="00277DE9" w:rsidRDefault="00277DE9" w:rsidP="00277DE9">
      <w:pPr>
        <w:pStyle w:val="ListParagraph"/>
        <w:numPr>
          <w:ilvl w:val="0"/>
          <w:numId w:val="1"/>
        </w:numPr>
        <w:spacing w:after="0" w:line="276" w:lineRule="auto"/>
        <w:rPr>
          <w:rFonts w:ascii="Arial" w:hAnsi="Arial" w:cs="Arial"/>
          <w:sz w:val="24"/>
          <w:szCs w:val="24"/>
        </w:rPr>
      </w:pPr>
      <w:r w:rsidRPr="004709D3">
        <w:rPr>
          <w:rFonts w:ascii="Arial" w:hAnsi="Arial" w:cs="Arial"/>
          <w:sz w:val="24"/>
          <w:szCs w:val="24"/>
        </w:rPr>
        <w:t xml:space="preserve">A further recent initiative has since been the Court’s participation since July 2022 in the </w:t>
      </w:r>
      <w:r w:rsidRPr="004709D3">
        <w:rPr>
          <w:rFonts w:ascii="Arial" w:hAnsi="Arial" w:cs="Arial"/>
          <w:i/>
          <w:iCs/>
          <w:sz w:val="24"/>
          <w:szCs w:val="24"/>
        </w:rPr>
        <w:t xml:space="preserve">Governance Apprenticeship Programme </w:t>
      </w:r>
      <w:r w:rsidRPr="004709D3">
        <w:rPr>
          <w:rFonts w:ascii="Arial" w:hAnsi="Arial" w:cs="Arial"/>
          <w:sz w:val="24"/>
          <w:szCs w:val="24"/>
        </w:rPr>
        <w:t xml:space="preserve">in partnership with Perrett Laver. The programme aims to address one of the barriers to improving board diversity, namely the limited pipeline of individuals from underrepresented backgrounds with the required board level experience. </w:t>
      </w:r>
      <w:r w:rsidRPr="004709D3">
        <w:rPr>
          <w:rFonts w:ascii="Arial" w:hAnsi="Arial" w:cs="Arial"/>
          <w:sz w:val="24"/>
          <w:szCs w:val="24"/>
        </w:rPr>
        <w:lastRenderedPageBreak/>
        <w:t>It provides the opportunity for one individual to shadow the Court for a year, offering the skills, insights, and networks, that can build a solid foundation for future board roles.</w:t>
      </w:r>
    </w:p>
    <w:p w14:paraId="1F57135F" w14:textId="77777777" w:rsidR="00277DE9" w:rsidRPr="00333A9B" w:rsidRDefault="00277DE9" w:rsidP="00277DE9">
      <w:pPr>
        <w:pStyle w:val="ListParagraph"/>
        <w:rPr>
          <w:rFonts w:ascii="Arial" w:hAnsi="Arial" w:cs="Arial"/>
          <w:sz w:val="24"/>
          <w:szCs w:val="24"/>
        </w:rPr>
      </w:pPr>
    </w:p>
    <w:p w14:paraId="6A8EF050" w14:textId="77777777" w:rsidR="00277DE9" w:rsidRDefault="00277DE9" w:rsidP="00277DE9">
      <w:pPr>
        <w:pStyle w:val="ListParagraph"/>
        <w:numPr>
          <w:ilvl w:val="0"/>
          <w:numId w:val="1"/>
        </w:numPr>
        <w:spacing w:after="0" w:line="276" w:lineRule="auto"/>
        <w:rPr>
          <w:rFonts w:ascii="Arial" w:hAnsi="Arial" w:cs="Arial"/>
          <w:sz w:val="24"/>
          <w:szCs w:val="24"/>
        </w:rPr>
      </w:pPr>
      <w:r w:rsidRPr="00333A9B">
        <w:rPr>
          <w:rFonts w:ascii="Arial" w:hAnsi="Arial" w:cs="Arial"/>
          <w:sz w:val="24"/>
          <w:szCs w:val="24"/>
        </w:rPr>
        <w:t>These steps have helped the Court to achieve the progress noted above in terms of gender balance, ethnic diversity and age profile. It is recognised, however, by the Court’s Governance and Nominations Committee that there remains further progress to be made in enhancing the wider diversity of the Court in terms of the aspirations set out in its Statement of Intent on Diversity. This remains a priority for action in forthcoming recruitment processes as new vacancies on Court arise.</w:t>
      </w:r>
    </w:p>
    <w:p w14:paraId="08A60DE0" w14:textId="77777777" w:rsidR="00277DE9" w:rsidRPr="00333A9B" w:rsidRDefault="00277DE9" w:rsidP="00277DE9">
      <w:pPr>
        <w:pStyle w:val="ListParagraph"/>
        <w:rPr>
          <w:rFonts w:ascii="Arial" w:hAnsi="Arial" w:cs="Arial"/>
          <w:b/>
          <w:bCs/>
          <w:sz w:val="24"/>
          <w:szCs w:val="24"/>
        </w:rPr>
      </w:pPr>
    </w:p>
    <w:p w14:paraId="656EF18F" w14:textId="77777777" w:rsidR="00277DE9" w:rsidRPr="00347305" w:rsidRDefault="00277DE9" w:rsidP="00277DE9">
      <w:pPr>
        <w:pStyle w:val="ListParagraph"/>
        <w:numPr>
          <w:ilvl w:val="0"/>
          <w:numId w:val="1"/>
        </w:numPr>
        <w:rPr>
          <w:rFonts w:ascii="Arial" w:hAnsi="Arial" w:cs="Arial"/>
          <w:b/>
          <w:bCs/>
          <w:sz w:val="24"/>
          <w:szCs w:val="24"/>
        </w:rPr>
      </w:pPr>
      <w:r w:rsidRPr="00347305">
        <w:rPr>
          <w:rFonts w:ascii="Arial" w:hAnsi="Arial" w:cs="Arial"/>
          <w:b/>
          <w:bCs/>
          <w:sz w:val="24"/>
          <w:szCs w:val="24"/>
        </w:rPr>
        <w:t>Gender Profile of the Court</w:t>
      </w:r>
    </w:p>
    <w:p w14:paraId="6C35FB13" w14:textId="77777777" w:rsidR="00277DE9" w:rsidRPr="00333A9B" w:rsidRDefault="00277DE9" w:rsidP="00277DE9">
      <w:pPr>
        <w:pStyle w:val="ListParagraph"/>
        <w:spacing w:after="0" w:line="276" w:lineRule="auto"/>
        <w:ind w:left="1247"/>
        <w:rPr>
          <w:rFonts w:ascii="Arial" w:hAnsi="Arial" w:cs="Arial"/>
          <w:sz w:val="24"/>
          <w:szCs w:val="24"/>
        </w:rPr>
      </w:pPr>
      <w:r w:rsidRPr="00333A9B">
        <w:rPr>
          <w:rFonts w:ascii="Arial" w:hAnsi="Arial" w:cs="Arial"/>
          <w:sz w:val="24"/>
          <w:szCs w:val="24"/>
        </w:rPr>
        <w:t xml:space="preserve">The University Court has a composition of </w:t>
      </w:r>
      <w:r>
        <w:rPr>
          <w:rFonts w:ascii="Arial" w:hAnsi="Arial" w:cs="Arial"/>
          <w:sz w:val="24"/>
          <w:szCs w:val="24"/>
        </w:rPr>
        <w:t>twenty-five</w:t>
      </w:r>
      <w:r w:rsidRPr="00333A9B">
        <w:rPr>
          <w:rFonts w:ascii="Arial" w:hAnsi="Arial" w:cs="Arial"/>
          <w:sz w:val="24"/>
          <w:szCs w:val="24"/>
        </w:rPr>
        <w:t>. The following figures are based on the membership in office as at the following dates since 2021:</w:t>
      </w:r>
    </w:p>
    <w:p w14:paraId="6DEDF8F7" w14:textId="77777777" w:rsidR="00277DE9" w:rsidRPr="00DB6369" w:rsidRDefault="00277DE9" w:rsidP="00277DE9">
      <w:pPr>
        <w:spacing w:after="0" w:line="276" w:lineRule="auto"/>
        <w:contextualSpacing/>
        <w:rPr>
          <w:rFonts w:ascii="Arial" w:hAnsi="Arial" w:cs="Arial"/>
          <w:sz w:val="24"/>
          <w:szCs w:val="24"/>
        </w:rPr>
      </w:pPr>
    </w:p>
    <w:tbl>
      <w:tblPr>
        <w:tblStyle w:val="TableGrid"/>
        <w:tblW w:w="0" w:type="auto"/>
        <w:tblLook w:val="04A0" w:firstRow="1" w:lastRow="0" w:firstColumn="1" w:lastColumn="0" w:noHBand="0" w:noVBand="1"/>
      </w:tblPr>
      <w:tblGrid>
        <w:gridCol w:w="3005"/>
        <w:gridCol w:w="3005"/>
        <w:gridCol w:w="3006"/>
      </w:tblGrid>
      <w:tr w:rsidR="00277DE9" w:rsidRPr="00433CB4" w14:paraId="7474934B" w14:textId="77777777" w:rsidTr="001877F6">
        <w:tc>
          <w:tcPr>
            <w:tcW w:w="3005" w:type="dxa"/>
          </w:tcPr>
          <w:p w14:paraId="5D751FAD" w14:textId="559D4441" w:rsidR="00277DE9" w:rsidRPr="00DB6369" w:rsidRDefault="00277DE9" w:rsidP="001877F6">
            <w:pPr>
              <w:spacing w:line="276" w:lineRule="auto"/>
              <w:contextualSpacing/>
              <w:rPr>
                <w:rFonts w:ascii="Arial" w:hAnsi="Arial" w:cs="Arial"/>
                <w:sz w:val="24"/>
                <w:szCs w:val="24"/>
              </w:rPr>
            </w:pPr>
            <w:r>
              <w:rPr>
                <w:rFonts w:ascii="Arial" w:hAnsi="Arial" w:cs="Arial"/>
                <w:sz w:val="24"/>
                <w:szCs w:val="24"/>
              </w:rPr>
              <w:t>Year</w:t>
            </w:r>
          </w:p>
        </w:tc>
        <w:tc>
          <w:tcPr>
            <w:tcW w:w="3005" w:type="dxa"/>
          </w:tcPr>
          <w:p w14:paraId="714D2B1A"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31 July 2021</w:t>
            </w:r>
          </w:p>
        </w:tc>
        <w:tc>
          <w:tcPr>
            <w:tcW w:w="3006" w:type="dxa"/>
          </w:tcPr>
          <w:p w14:paraId="387B7CEE"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31 July 2022</w:t>
            </w:r>
          </w:p>
        </w:tc>
      </w:tr>
      <w:tr w:rsidR="00277DE9" w:rsidRPr="00433CB4" w14:paraId="675B931A" w14:textId="77777777" w:rsidTr="001877F6">
        <w:tc>
          <w:tcPr>
            <w:tcW w:w="3005" w:type="dxa"/>
          </w:tcPr>
          <w:p w14:paraId="3743A679"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Women</w:t>
            </w:r>
          </w:p>
        </w:tc>
        <w:tc>
          <w:tcPr>
            <w:tcW w:w="3005" w:type="dxa"/>
          </w:tcPr>
          <w:p w14:paraId="39563E1C"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11</w:t>
            </w:r>
          </w:p>
        </w:tc>
        <w:tc>
          <w:tcPr>
            <w:tcW w:w="3006" w:type="dxa"/>
          </w:tcPr>
          <w:p w14:paraId="3C997CF5"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12</w:t>
            </w:r>
          </w:p>
        </w:tc>
      </w:tr>
      <w:tr w:rsidR="00277DE9" w:rsidRPr="00433CB4" w14:paraId="478CE512" w14:textId="77777777" w:rsidTr="001877F6">
        <w:tc>
          <w:tcPr>
            <w:tcW w:w="3005" w:type="dxa"/>
          </w:tcPr>
          <w:p w14:paraId="3F272CF4"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Men</w:t>
            </w:r>
          </w:p>
        </w:tc>
        <w:tc>
          <w:tcPr>
            <w:tcW w:w="3005" w:type="dxa"/>
          </w:tcPr>
          <w:p w14:paraId="5CF464AE"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12</w:t>
            </w:r>
          </w:p>
        </w:tc>
        <w:tc>
          <w:tcPr>
            <w:tcW w:w="3006" w:type="dxa"/>
          </w:tcPr>
          <w:p w14:paraId="26C75176"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13</w:t>
            </w:r>
          </w:p>
        </w:tc>
      </w:tr>
      <w:tr w:rsidR="00277DE9" w:rsidRPr="00433CB4" w14:paraId="6CBF6992" w14:textId="77777777" w:rsidTr="001877F6">
        <w:tc>
          <w:tcPr>
            <w:tcW w:w="3005" w:type="dxa"/>
          </w:tcPr>
          <w:p w14:paraId="033CCF24"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 of membership</w:t>
            </w:r>
          </w:p>
        </w:tc>
        <w:tc>
          <w:tcPr>
            <w:tcW w:w="3005" w:type="dxa"/>
          </w:tcPr>
          <w:p w14:paraId="4EE34542"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44% Female</w:t>
            </w:r>
          </w:p>
          <w:p w14:paraId="7FE4E31F"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48% Male</w:t>
            </w:r>
          </w:p>
          <w:p w14:paraId="0AEA0D8F"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2 vacancies</w:t>
            </w:r>
          </w:p>
        </w:tc>
        <w:tc>
          <w:tcPr>
            <w:tcW w:w="3006" w:type="dxa"/>
          </w:tcPr>
          <w:p w14:paraId="5016CCA3"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48% Female</w:t>
            </w:r>
          </w:p>
          <w:p w14:paraId="15B57112"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52% Male</w:t>
            </w:r>
          </w:p>
        </w:tc>
      </w:tr>
    </w:tbl>
    <w:p w14:paraId="0642026D" w14:textId="77777777" w:rsidR="00277DE9" w:rsidRDefault="00277DE9" w:rsidP="00277DE9">
      <w:pPr>
        <w:spacing w:after="0" w:line="276" w:lineRule="auto"/>
        <w:contextualSpacing/>
        <w:rPr>
          <w:rFonts w:ascii="Arial" w:hAnsi="Arial" w:cs="Arial"/>
          <w:sz w:val="24"/>
          <w:szCs w:val="24"/>
        </w:rPr>
      </w:pPr>
      <w:r w:rsidRPr="00EC259B">
        <w:rPr>
          <w:rFonts w:ascii="Arial" w:hAnsi="Arial" w:cs="Arial"/>
          <w:b/>
          <w:bCs/>
          <w:sz w:val="24"/>
          <w:szCs w:val="24"/>
        </w:rPr>
        <w:t>Table 3</w:t>
      </w:r>
      <w:r w:rsidRPr="00DB6369">
        <w:rPr>
          <w:rFonts w:ascii="Arial" w:hAnsi="Arial" w:cs="Arial"/>
          <w:sz w:val="24"/>
          <w:szCs w:val="24"/>
        </w:rPr>
        <w:t>: Gender profile of Court 2021 and 2022</w:t>
      </w:r>
    </w:p>
    <w:p w14:paraId="2D63B0CB" w14:textId="77777777" w:rsidR="00277DE9" w:rsidRPr="00DB6369" w:rsidRDefault="00277DE9" w:rsidP="00277DE9">
      <w:pPr>
        <w:spacing w:after="0" w:line="276" w:lineRule="auto"/>
        <w:contextualSpacing/>
        <w:rPr>
          <w:rFonts w:ascii="Arial" w:hAnsi="Arial" w:cs="Arial"/>
          <w:sz w:val="24"/>
          <w:szCs w:val="24"/>
        </w:rPr>
      </w:pPr>
    </w:p>
    <w:p w14:paraId="64822121" w14:textId="77777777" w:rsidR="00277DE9" w:rsidRPr="00347305" w:rsidRDefault="00277DE9" w:rsidP="00277DE9">
      <w:pPr>
        <w:pStyle w:val="ListParagraph"/>
        <w:numPr>
          <w:ilvl w:val="0"/>
          <w:numId w:val="1"/>
        </w:numPr>
        <w:rPr>
          <w:rFonts w:ascii="Arial" w:hAnsi="Arial" w:cs="Arial"/>
          <w:b/>
          <w:bCs/>
          <w:sz w:val="24"/>
          <w:szCs w:val="24"/>
        </w:rPr>
      </w:pPr>
      <w:r w:rsidRPr="00347305">
        <w:rPr>
          <w:rFonts w:ascii="Arial" w:hAnsi="Arial" w:cs="Arial"/>
          <w:b/>
          <w:bCs/>
          <w:sz w:val="24"/>
          <w:szCs w:val="24"/>
        </w:rPr>
        <w:t>Reporting Information Specific to Gender Representation on Public Boards (Scotland) Act</w:t>
      </w:r>
    </w:p>
    <w:p w14:paraId="6F3DD078" w14:textId="77777777" w:rsidR="00277DE9" w:rsidRDefault="00277DE9" w:rsidP="00277DE9">
      <w:pPr>
        <w:pStyle w:val="ListParagraph"/>
        <w:spacing w:after="0" w:line="276" w:lineRule="auto"/>
        <w:ind w:left="1247"/>
        <w:rPr>
          <w:rFonts w:ascii="Arial" w:hAnsi="Arial" w:cs="Arial"/>
          <w:b/>
          <w:bCs/>
          <w:sz w:val="24"/>
          <w:szCs w:val="24"/>
        </w:rPr>
      </w:pPr>
    </w:p>
    <w:p w14:paraId="3173717F" w14:textId="77777777" w:rsidR="00277DE9" w:rsidRPr="00027CB9" w:rsidRDefault="00277DE9" w:rsidP="00277DE9">
      <w:pPr>
        <w:pStyle w:val="ListParagraph"/>
        <w:numPr>
          <w:ilvl w:val="0"/>
          <w:numId w:val="1"/>
        </w:numPr>
        <w:spacing w:after="0" w:line="276" w:lineRule="auto"/>
        <w:rPr>
          <w:rFonts w:ascii="Arial" w:hAnsi="Arial" w:cs="Arial"/>
          <w:b/>
          <w:bCs/>
          <w:sz w:val="24"/>
          <w:szCs w:val="24"/>
        </w:rPr>
      </w:pPr>
      <w:r w:rsidRPr="00027CB9">
        <w:rPr>
          <w:rFonts w:ascii="Arial" w:hAnsi="Arial" w:cs="Arial"/>
          <w:sz w:val="24"/>
          <w:szCs w:val="24"/>
        </w:rPr>
        <w:t>This section reports on the</w:t>
      </w:r>
      <w:r w:rsidRPr="00027CB9">
        <w:rPr>
          <w:rFonts w:ascii="Arial" w:hAnsi="Arial" w:cs="Arial"/>
          <w:b/>
          <w:bCs/>
          <w:sz w:val="24"/>
          <w:szCs w:val="24"/>
        </w:rPr>
        <w:t xml:space="preserve"> </w:t>
      </w:r>
      <w:r w:rsidRPr="00027CB9">
        <w:rPr>
          <w:rFonts w:ascii="Arial" w:hAnsi="Arial" w:cs="Arial"/>
          <w:sz w:val="24"/>
          <w:szCs w:val="24"/>
        </w:rPr>
        <w:t>information required by Section 8 of the Gender Representation on Public Boards (Scotland) Act 2018. It covers the period since August 2020 to 31 July 2022.</w:t>
      </w:r>
    </w:p>
    <w:p w14:paraId="34D5F02D" w14:textId="77777777" w:rsidR="00277DE9" w:rsidRPr="00DB6369" w:rsidRDefault="00277DE9" w:rsidP="00277DE9">
      <w:pPr>
        <w:spacing w:after="0" w:line="276" w:lineRule="auto"/>
        <w:contextualSpacing/>
        <w:rPr>
          <w:rFonts w:ascii="Arial" w:hAnsi="Arial" w:cs="Arial"/>
          <w:sz w:val="24"/>
          <w:szCs w:val="24"/>
        </w:rPr>
      </w:pPr>
      <w:r w:rsidRPr="00DB6369">
        <w:rPr>
          <w:rFonts w:ascii="Arial" w:hAnsi="Arial" w:cs="Arial"/>
          <w:sz w:val="24"/>
          <w:szCs w:val="24"/>
        </w:rPr>
        <w:t xml:space="preserve"> </w:t>
      </w:r>
    </w:p>
    <w:p w14:paraId="0E6BBC6D" w14:textId="77777777" w:rsidR="00277DE9" w:rsidRPr="00DB6369" w:rsidRDefault="00277DE9" w:rsidP="00277DE9">
      <w:pPr>
        <w:pStyle w:val="ListParagraph"/>
        <w:numPr>
          <w:ilvl w:val="0"/>
          <w:numId w:val="1"/>
        </w:numPr>
        <w:spacing w:after="0" w:line="276" w:lineRule="auto"/>
        <w:rPr>
          <w:rFonts w:ascii="Arial" w:hAnsi="Arial" w:cs="Arial"/>
          <w:sz w:val="24"/>
          <w:szCs w:val="24"/>
        </w:rPr>
      </w:pPr>
      <w:r w:rsidRPr="00DB6369">
        <w:rPr>
          <w:rFonts w:ascii="Arial" w:hAnsi="Arial" w:cs="Arial"/>
          <w:sz w:val="24"/>
          <w:szCs w:val="24"/>
        </w:rPr>
        <w:t>The Act applies to members who are appointed by the Court but excludes members who are elected or nominated. For the Universit</w:t>
      </w:r>
      <w:r>
        <w:rPr>
          <w:rFonts w:ascii="Arial" w:hAnsi="Arial" w:cs="Arial"/>
          <w:sz w:val="24"/>
          <w:szCs w:val="24"/>
        </w:rPr>
        <w:t>y</w:t>
      </w:r>
      <w:r w:rsidRPr="00DB6369">
        <w:rPr>
          <w:rFonts w:ascii="Arial" w:hAnsi="Arial" w:cs="Arial"/>
          <w:sz w:val="24"/>
          <w:szCs w:val="24"/>
        </w:rPr>
        <w:t xml:space="preserve"> Court, this translates to being twelve of the thirteen independent members of Court (the Senior Governor who, while independent, is elected and therefore excluded).</w:t>
      </w:r>
    </w:p>
    <w:p w14:paraId="56285F6A" w14:textId="77777777" w:rsidR="00277DE9" w:rsidRPr="00DB6369" w:rsidRDefault="00277DE9" w:rsidP="00277DE9">
      <w:pPr>
        <w:spacing w:after="0" w:line="276" w:lineRule="auto"/>
        <w:contextualSpacing/>
        <w:rPr>
          <w:rFonts w:ascii="Arial" w:hAnsi="Arial" w:cs="Arial"/>
          <w:sz w:val="24"/>
          <w:szCs w:val="24"/>
        </w:rPr>
      </w:pPr>
    </w:p>
    <w:p w14:paraId="65E139BA" w14:textId="77777777" w:rsidR="00277DE9" w:rsidRDefault="00277DE9" w:rsidP="00277DE9">
      <w:pPr>
        <w:pStyle w:val="ListParagraph"/>
        <w:numPr>
          <w:ilvl w:val="0"/>
          <w:numId w:val="1"/>
        </w:numPr>
        <w:spacing w:after="0" w:line="276" w:lineRule="auto"/>
        <w:rPr>
          <w:rFonts w:ascii="Arial" w:hAnsi="Arial" w:cs="Arial"/>
          <w:sz w:val="24"/>
          <w:szCs w:val="24"/>
        </w:rPr>
      </w:pPr>
      <w:r w:rsidRPr="00DB6369">
        <w:rPr>
          <w:rFonts w:ascii="Arial" w:hAnsi="Arial" w:cs="Arial"/>
          <w:sz w:val="24"/>
          <w:szCs w:val="24"/>
        </w:rPr>
        <w:t xml:space="preserve">As </w:t>
      </w:r>
      <w:r>
        <w:rPr>
          <w:rFonts w:ascii="Arial" w:hAnsi="Arial" w:cs="Arial"/>
          <w:sz w:val="24"/>
          <w:szCs w:val="24"/>
        </w:rPr>
        <w:t>of</w:t>
      </w:r>
      <w:r w:rsidRPr="00DB6369">
        <w:rPr>
          <w:rFonts w:ascii="Arial" w:hAnsi="Arial" w:cs="Arial"/>
          <w:sz w:val="24"/>
          <w:szCs w:val="24"/>
        </w:rPr>
        <w:t xml:space="preserve"> 31 July 2022, the objective of the legislation has been achieved with six of the twelve independent members of Court being female. This has been achieved through the steps outlined above.  Furthermore, as at the time of writing (February 2023) the Court continues to meet the objective of the legislation.</w:t>
      </w:r>
    </w:p>
    <w:p w14:paraId="0C7074B5" w14:textId="77777777" w:rsidR="00277DE9" w:rsidRPr="006B0C1F" w:rsidRDefault="00277DE9" w:rsidP="00277DE9">
      <w:pPr>
        <w:pStyle w:val="ListParagraph"/>
        <w:rPr>
          <w:rFonts w:ascii="Arial" w:hAnsi="Arial" w:cs="Arial"/>
          <w:sz w:val="24"/>
          <w:szCs w:val="24"/>
        </w:rPr>
      </w:pPr>
    </w:p>
    <w:p w14:paraId="5139F8F4" w14:textId="77777777" w:rsidR="00277DE9" w:rsidRPr="006B0C1F" w:rsidRDefault="00277DE9" w:rsidP="00277DE9">
      <w:pPr>
        <w:pStyle w:val="ListParagraph"/>
        <w:spacing w:after="0" w:line="276" w:lineRule="auto"/>
        <w:ind w:left="1247"/>
        <w:rPr>
          <w:rFonts w:ascii="Arial" w:hAnsi="Arial" w:cs="Arial"/>
          <w:sz w:val="24"/>
          <w:szCs w:val="24"/>
        </w:rPr>
      </w:pPr>
      <w:r w:rsidRPr="006B0C1F">
        <w:rPr>
          <w:rFonts w:ascii="Arial" w:hAnsi="Arial" w:cs="Arial"/>
          <w:sz w:val="24"/>
          <w:szCs w:val="24"/>
        </w:rPr>
        <w:lastRenderedPageBreak/>
        <w:t>As required by the Act, the following further information is provided:</w:t>
      </w:r>
    </w:p>
    <w:p w14:paraId="38108122" w14:textId="77777777" w:rsidR="00277DE9" w:rsidRPr="00DB6369" w:rsidRDefault="00277DE9" w:rsidP="00277DE9">
      <w:pPr>
        <w:spacing w:after="0" w:line="276" w:lineRule="auto"/>
        <w:contextualSpacing/>
        <w:rPr>
          <w:rFonts w:ascii="Arial" w:hAnsi="Arial" w:cs="Arial"/>
          <w:sz w:val="24"/>
          <w:szCs w:val="24"/>
        </w:rPr>
      </w:pPr>
    </w:p>
    <w:tbl>
      <w:tblPr>
        <w:tblStyle w:val="TableGrid"/>
        <w:tblW w:w="9209" w:type="dxa"/>
        <w:tblLook w:val="04A0" w:firstRow="1" w:lastRow="0" w:firstColumn="1" w:lastColumn="0" w:noHBand="0" w:noVBand="1"/>
      </w:tblPr>
      <w:tblGrid>
        <w:gridCol w:w="3005"/>
        <w:gridCol w:w="3005"/>
        <w:gridCol w:w="3199"/>
      </w:tblGrid>
      <w:tr w:rsidR="00277DE9" w:rsidRPr="00433CB4" w14:paraId="27E20D59" w14:textId="77777777" w:rsidTr="00277DE9">
        <w:tc>
          <w:tcPr>
            <w:tcW w:w="3005" w:type="dxa"/>
          </w:tcPr>
          <w:p w14:paraId="6C36BCAE" w14:textId="4DFA023F" w:rsidR="00277DE9" w:rsidRPr="00DB6369" w:rsidRDefault="00277DE9" w:rsidP="001877F6">
            <w:pPr>
              <w:spacing w:line="276" w:lineRule="auto"/>
              <w:contextualSpacing/>
              <w:rPr>
                <w:rFonts w:ascii="Arial" w:hAnsi="Arial" w:cs="Arial"/>
                <w:sz w:val="24"/>
                <w:szCs w:val="24"/>
              </w:rPr>
            </w:pPr>
            <w:r>
              <w:rPr>
                <w:rFonts w:ascii="Arial" w:hAnsi="Arial" w:cs="Arial"/>
                <w:sz w:val="24"/>
                <w:szCs w:val="24"/>
              </w:rPr>
              <w:t>Year</w:t>
            </w:r>
          </w:p>
        </w:tc>
        <w:tc>
          <w:tcPr>
            <w:tcW w:w="3005" w:type="dxa"/>
          </w:tcPr>
          <w:p w14:paraId="0AF15C6B"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31 July 2021</w:t>
            </w:r>
          </w:p>
        </w:tc>
        <w:tc>
          <w:tcPr>
            <w:tcW w:w="3199" w:type="dxa"/>
          </w:tcPr>
          <w:p w14:paraId="68733C6D"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31 July 2022</w:t>
            </w:r>
          </w:p>
        </w:tc>
      </w:tr>
      <w:tr w:rsidR="00277DE9" w:rsidRPr="00433CB4" w14:paraId="7225B653" w14:textId="77777777" w:rsidTr="00277DE9">
        <w:tc>
          <w:tcPr>
            <w:tcW w:w="3005" w:type="dxa"/>
          </w:tcPr>
          <w:p w14:paraId="2626CA74"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Women</w:t>
            </w:r>
          </w:p>
        </w:tc>
        <w:tc>
          <w:tcPr>
            <w:tcW w:w="3005" w:type="dxa"/>
          </w:tcPr>
          <w:p w14:paraId="393183AE"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6</w:t>
            </w:r>
          </w:p>
        </w:tc>
        <w:tc>
          <w:tcPr>
            <w:tcW w:w="3199" w:type="dxa"/>
          </w:tcPr>
          <w:p w14:paraId="3B958540"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6</w:t>
            </w:r>
          </w:p>
        </w:tc>
      </w:tr>
      <w:tr w:rsidR="00277DE9" w:rsidRPr="00433CB4" w14:paraId="5641596F" w14:textId="77777777" w:rsidTr="00277DE9">
        <w:tc>
          <w:tcPr>
            <w:tcW w:w="3005" w:type="dxa"/>
          </w:tcPr>
          <w:p w14:paraId="2BD07255"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Men</w:t>
            </w:r>
          </w:p>
        </w:tc>
        <w:tc>
          <w:tcPr>
            <w:tcW w:w="3005" w:type="dxa"/>
          </w:tcPr>
          <w:p w14:paraId="76BEFB2C"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5</w:t>
            </w:r>
          </w:p>
        </w:tc>
        <w:tc>
          <w:tcPr>
            <w:tcW w:w="3199" w:type="dxa"/>
          </w:tcPr>
          <w:p w14:paraId="17B6AE17"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6</w:t>
            </w:r>
          </w:p>
        </w:tc>
      </w:tr>
      <w:tr w:rsidR="00277DE9" w:rsidRPr="00433CB4" w14:paraId="3E2DD357" w14:textId="77777777" w:rsidTr="00277DE9">
        <w:tc>
          <w:tcPr>
            <w:tcW w:w="3005" w:type="dxa"/>
          </w:tcPr>
          <w:p w14:paraId="2410D031"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 of membership</w:t>
            </w:r>
          </w:p>
        </w:tc>
        <w:tc>
          <w:tcPr>
            <w:tcW w:w="3005" w:type="dxa"/>
          </w:tcPr>
          <w:p w14:paraId="340FAB9D"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50% Female</w:t>
            </w:r>
          </w:p>
          <w:p w14:paraId="58376845"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42% Male</w:t>
            </w:r>
          </w:p>
          <w:p w14:paraId="60A80EC8"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1 Vacancy</w:t>
            </w:r>
          </w:p>
        </w:tc>
        <w:tc>
          <w:tcPr>
            <w:tcW w:w="3199" w:type="dxa"/>
          </w:tcPr>
          <w:p w14:paraId="2A4C0831"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50% Female</w:t>
            </w:r>
          </w:p>
          <w:p w14:paraId="41E30B1B"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50% Male</w:t>
            </w:r>
          </w:p>
        </w:tc>
      </w:tr>
    </w:tbl>
    <w:p w14:paraId="7F1183D9" w14:textId="77777777" w:rsidR="00277DE9" w:rsidRDefault="00277DE9" w:rsidP="00277DE9">
      <w:pPr>
        <w:spacing w:after="0" w:line="276" w:lineRule="auto"/>
        <w:contextualSpacing/>
        <w:rPr>
          <w:rFonts w:ascii="Arial" w:hAnsi="Arial" w:cs="Arial"/>
          <w:sz w:val="24"/>
          <w:szCs w:val="24"/>
        </w:rPr>
      </w:pPr>
      <w:r w:rsidRPr="00011A3D">
        <w:rPr>
          <w:rFonts w:ascii="Arial" w:hAnsi="Arial" w:cs="Arial"/>
          <w:b/>
          <w:bCs/>
          <w:sz w:val="24"/>
          <w:szCs w:val="24"/>
        </w:rPr>
        <w:t>Table 4</w:t>
      </w:r>
      <w:r w:rsidRPr="00DB6369">
        <w:rPr>
          <w:rFonts w:ascii="Arial" w:hAnsi="Arial" w:cs="Arial"/>
          <w:sz w:val="24"/>
          <w:szCs w:val="24"/>
        </w:rPr>
        <w:t>: Gender profile of Independent Members Appointed by Court 2021 and 2022</w:t>
      </w:r>
    </w:p>
    <w:p w14:paraId="5DFC1477" w14:textId="77777777" w:rsidR="00277DE9" w:rsidRPr="00DB6369" w:rsidRDefault="00277DE9" w:rsidP="00277DE9">
      <w:pPr>
        <w:spacing w:after="0" w:line="276" w:lineRule="auto"/>
        <w:contextualSpacing/>
        <w:rPr>
          <w:rFonts w:ascii="Arial" w:hAnsi="Arial" w:cs="Arial"/>
          <w:sz w:val="24"/>
          <w:szCs w:val="24"/>
        </w:rPr>
      </w:pPr>
    </w:p>
    <w:p w14:paraId="2AAA0428" w14:textId="77777777" w:rsidR="00277DE9" w:rsidRPr="00DB6369" w:rsidRDefault="00277DE9" w:rsidP="00277DE9">
      <w:pPr>
        <w:spacing w:after="0" w:line="276" w:lineRule="auto"/>
        <w:contextualSpacing/>
        <w:rPr>
          <w:rFonts w:ascii="Arial" w:hAnsi="Arial" w:cs="Arial"/>
          <w:sz w:val="24"/>
          <w:szCs w:val="24"/>
        </w:rPr>
      </w:pPr>
    </w:p>
    <w:tbl>
      <w:tblPr>
        <w:tblStyle w:val="TableGrid"/>
        <w:tblW w:w="9209" w:type="dxa"/>
        <w:tblLook w:val="04A0" w:firstRow="1" w:lastRow="0" w:firstColumn="1" w:lastColumn="0" w:noHBand="0" w:noVBand="1"/>
      </w:tblPr>
      <w:tblGrid>
        <w:gridCol w:w="1324"/>
        <w:gridCol w:w="1510"/>
        <w:gridCol w:w="1511"/>
        <w:gridCol w:w="1511"/>
        <w:gridCol w:w="1684"/>
        <w:gridCol w:w="1684"/>
      </w:tblGrid>
      <w:tr w:rsidR="00277DE9" w:rsidRPr="00433CB4" w14:paraId="10D9AE6E" w14:textId="77777777" w:rsidTr="00277DE9">
        <w:tc>
          <w:tcPr>
            <w:tcW w:w="1296" w:type="dxa"/>
          </w:tcPr>
          <w:p w14:paraId="576E2DB9"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Number of Vacancies</w:t>
            </w:r>
          </w:p>
        </w:tc>
        <w:tc>
          <w:tcPr>
            <w:tcW w:w="1476" w:type="dxa"/>
          </w:tcPr>
          <w:p w14:paraId="38DCFF14"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Number of Recruitment Processes Undertaken</w:t>
            </w:r>
          </w:p>
        </w:tc>
        <w:tc>
          <w:tcPr>
            <w:tcW w:w="1477" w:type="dxa"/>
          </w:tcPr>
          <w:p w14:paraId="11327930"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Number of Applications</w:t>
            </w:r>
          </w:p>
        </w:tc>
        <w:tc>
          <w:tcPr>
            <w:tcW w:w="1477" w:type="dxa"/>
          </w:tcPr>
          <w:p w14:paraId="585FCE86"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 of Applications from Women</w:t>
            </w:r>
          </w:p>
        </w:tc>
        <w:tc>
          <w:tcPr>
            <w:tcW w:w="1645" w:type="dxa"/>
          </w:tcPr>
          <w:p w14:paraId="6E82CB56"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 xml:space="preserve">Number of Appointments Made </w:t>
            </w:r>
          </w:p>
        </w:tc>
        <w:tc>
          <w:tcPr>
            <w:tcW w:w="1838" w:type="dxa"/>
          </w:tcPr>
          <w:p w14:paraId="2ABF8839"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Number of Appointments Female</w:t>
            </w:r>
          </w:p>
        </w:tc>
      </w:tr>
      <w:tr w:rsidR="00277DE9" w:rsidRPr="00433CB4" w14:paraId="454F9DCD" w14:textId="77777777" w:rsidTr="00277DE9">
        <w:tc>
          <w:tcPr>
            <w:tcW w:w="1296" w:type="dxa"/>
          </w:tcPr>
          <w:p w14:paraId="0A055C86"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4</w:t>
            </w:r>
          </w:p>
        </w:tc>
        <w:tc>
          <w:tcPr>
            <w:tcW w:w="1476" w:type="dxa"/>
          </w:tcPr>
          <w:p w14:paraId="0ABB3AC1"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1</w:t>
            </w:r>
          </w:p>
        </w:tc>
        <w:tc>
          <w:tcPr>
            <w:tcW w:w="1477" w:type="dxa"/>
          </w:tcPr>
          <w:p w14:paraId="4BC9A8D2"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64*</w:t>
            </w:r>
          </w:p>
        </w:tc>
        <w:tc>
          <w:tcPr>
            <w:tcW w:w="1477" w:type="dxa"/>
          </w:tcPr>
          <w:p w14:paraId="125E6EA9"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24%*</w:t>
            </w:r>
          </w:p>
        </w:tc>
        <w:tc>
          <w:tcPr>
            <w:tcW w:w="1645" w:type="dxa"/>
          </w:tcPr>
          <w:p w14:paraId="4BC81239"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4</w:t>
            </w:r>
          </w:p>
        </w:tc>
        <w:tc>
          <w:tcPr>
            <w:tcW w:w="1838" w:type="dxa"/>
          </w:tcPr>
          <w:p w14:paraId="557003D3" w14:textId="77777777" w:rsidR="00277DE9" w:rsidRPr="00DB6369" w:rsidRDefault="00277DE9" w:rsidP="001877F6">
            <w:pPr>
              <w:spacing w:line="276" w:lineRule="auto"/>
              <w:contextualSpacing/>
              <w:rPr>
                <w:rFonts w:ascii="Arial" w:hAnsi="Arial" w:cs="Arial"/>
                <w:sz w:val="24"/>
                <w:szCs w:val="24"/>
              </w:rPr>
            </w:pPr>
            <w:r w:rsidRPr="00DB6369">
              <w:rPr>
                <w:rFonts w:ascii="Arial" w:hAnsi="Arial" w:cs="Arial"/>
                <w:sz w:val="24"/>
                <w:szCs w:val="24"/>
              </w:rPr>
              <w:t>2</w:t>
            </w:r>
          </w:p>
        </w:tc>
      </w:tr>
    </w:tbl>
    <w:p w14:paraId="1A65ADBF" w14:textId="77777777" w:rsidR="00277DE9" w:rsidRDefault="00277DE9" w:rsidP="00277DE9">
      <w:pPr>
        <w:spacing w:after="0" w:line="276" w:lineRule="auto"/>
        <w:rPr>
          <w:rFonts w:ascii="Arial" w:hAnsi="Arial" w:cs="Arial"/>
          <w:sz w:val="24"/>
          <w:szCs w:val="24"/>
        </w:rPr>
      </w:pPr>
      <w:r w:rsidRPr="00011A3D">
        <w:rPr>
          <w:rFonts w:ascii="Arial" w:hAnsi="Arial" w:cs="Arial"/>
          <w:b/>
          <w:bCs/>
          <w:sz w:val="24"/>
          <w:szCs w:val="24"/>
        </w:rPr>
        <w:t>Table 5</w:t>
      </w:r>
      <w:r w:rsidRPr="00DB6369">
        <w:rPr>
          <w:rFonts w:ascii="Arial" w:hAnsi="Arial" w:cs="Arial"/>
          <w:sz w:val="24"/>
          <w:szCs w:val="24"/>
        </w:rPr>
        <w:t>: Recruitment of Independent Members 1 Aug 2020 to 31 July 2022</w:t>
      </w:r>
    </w:p>
    <w:p w14:paraId="49C73DEB" w14:textId="77777777" w:rsidR="00277DE9" w:rsidRDefault="00277DE9" w:rsidP="00277DE9">
      <w:pPr>
        <w:spacing w:after="0" w:line="276" w:lineRule="auto"/>
        <w:rPr>
          <w:rFonts w:ascii="Arial" w:hAnsi="Arial" w:cs="Arial"/>
          <w:sz w:val="24"/>
          <w:szCs w:val="24"/>
        </w:rPr>
      </w:pPr>
    </w:p>
    <w:p w14:paraId="7B9F4FC9" w14:textId="77777777" w:rsidR="00277DE9" w:rsidRPr="00DB6369" w:rsidRDefault="00277DE9" w:rsidP="00277DE9">
      <w:pPr>
        <w:spacing w:after="0" w:line="276" w:lineRule="auto"/>
        <w:rPr>
          <w:rFonts w:ascii="Arial" w:hAnsi="Arial" w:cs="Arial"/>
          <w:sz w:val="24"/>
          <w:szCs w:val="24"/>
        </w:rPr>
      </w:pPr>
      <w:r w:rsidRPr="00DB6369">
        <w:rPr>
          <w:rFonts w:ascii="Arial" w:hAnsi="Arial" w:cs="Arial"/>
          <w:sz w:val="24"/>
          <w:szCs w:val="24"/>
        </w:rPr>
        <w:t>Note *: While 64 applications were received, only 38 disclosed their gender. The percentage of applications from women given above, therefore, represents the percentage of those 64 applications.</w:t>
      </w:r>
    </w:p>
    <w:p w14:paraId="29C4D60B" w14:textId="77777777" w:rsidR="00277DE9" w:rsidRPr="009F4B85" w:rsidRDefault="00277DE9" w:rsidP="00277DE9">
      <w:pPr>
        <w:pStyle w:val="ListParagraph"/>
        <w:spacing w:after="0" w:line="276" w:lineRule="auto"/>
        <w:rPr>
          <w:rFonts w:ascii="Arial" w:hAnsi="Arial" w:cs="Arial"/>
          <w:b/>
          <w:bCs/>
          <w:sz w:val="24"/>
          <w:szCs w:val="24"/>
        </w:rPr>
      </w:pPr>
    </w:p>
    <w:p w14:paraId="7F543FEE" w14:textId="77777777" w:rsidR="00277DE9" w:rsidRPr="00011A3D" w:rsidRDefault="00277DE9" w:rsidP="00277DE9">
      <w:pPr>
        <w:pStyle w:val="ListParagraph"/>
        <w:numPr>
          <w:ilvl w:val="0"/>
          <w:numId w:val="1"/>
        </w:numPr>
        <w:spacing w:after="0" w:line="276" w:lineRule="auto"/>
        <w:rPr>
          <w:rFonts w:ascii="Arial" w:hAnsi="Arial" w:cs="Arial"/>
          <w:sz w:val="24"/>
          <w:szCs w:val="24"/>
          <w:shd w:val="clear" w:color="auto" w:fill="FFFFFF"/>
        </w:rPr>
      </w:pPr>
      <w:r w:rsidRPr="00011A3D">
        <w:rPr>
          <w:rFonts w:ascii="Arial" w:hAnsi="Arial" w:cs="Arial"/>
          <w:sz w:val="24"/>
          <w:szCs w:val="24"/>
          <w:shd w:val="clear" w:color="auto" w:fill="FFFFFF"/>
        </w:rPr>
        <w:t>The Court composition by ethnicity can be seen in Table 6 below:</w:t>
      </w:r>
    </w:p>
    <w:p w14:paraId="5E2588CB" w14:textId="77777777" w:rsidR="00277DE9" w:rsidRDefault="00277DE9" w:rsidP="00277DE9">
      <w:pPr>
        <w:pStyle w:val="ListParagraph"/>
        <w:spacing w:after="0" w:line="276" w:lineRule="auto"/>
        <w:rPr>
          <w:rFonts w:ascii="Arial" w:hAnsi="Arial" w:cs="Arial"/>
          <w:sz w:val="24"/>
          <w:szCs w:val="24"/>
          <w:shd w:val="clear" w:color="auto" w:fill="FFFFFF"/>
        </w:rPr>
      </w:pPr>
    </w:p>
    <w:tbl>
      <w:tblPr>
        <w:tblStyle w:val="TableGrid"/>
        <w:tblW w:w="9214" w:type="dxa"/>
        <w:tblInd w:w="-5" w:type="dxa"/>
        <w:tblLook w:val="04A0" w:firstRow="1" w:lastRow="0" w:firstColumn="1" w:lastColumn="0" w:noHBand="0" w:noVBand="1"/>
      </w:tblPr>
      <w:tblGrid>
        <w:gridCol w:w="4842"/>
        <w:gridCol w:w="4372"/>
      </w:tblGrid>
      <w:tr w:rsidR="00277DE9" w14:paraId="44E04686" w14:textId="77777777" w:rsidTr="00277DE9">
        <w:tc>
          <w:tcPr>
            <w:tcW w:w="4842" w:type="dxa"/>
          </w:tcPr>
          <w:p w14:paraId="60FDACFC" w14:textId="77777777" w:rsidR="00277DE9" w:rsidRPr="00B825C0" w:rsidRDefault="00277DE9" w:rsidP="001877F6">
            <w:pPr>
              <w:pStyle w:val="ListParagraph"/>
              <w:spacing w:after="120" w:line="276" w:lineRule="auto"/>
              <w:ind w:left="0"/>
              <w:rPr>
                <w:rFonts w:ascii="Arial" w:hAnsi="Arial" w:cs="Arial"/>
                <w:b/>
                <w:bCs/>
                <w:sz w:val="24"/>
                <w:szCs w:val="24"/>
                <w:shd w:val="clear" w:color="auto" w:fill="FFFFFF"/>
              </w:rPr>
            </w:pPr>
            <w:r w:rsidRPr="00B825C0">
              <w:rPr>
                <w:rFonts w:ascii="Arial" w:hAnsi="Arial" w:cs="Arial"/>
                <w:b/>
                <w:bCs/>
                <w:sz w:val="24"/>
                <w:szCs w:val="24"/>
                <w:shd w:val="clear" w:color="auto" w:fill="FFFFFF"/>
              </w:rPr>
              <w:t xml:space="preserve">ETHNICITY </w:t>
            </w:r>
          </w:p>
        </w:tc>
        <w:tc>
          <w:tcPr>
            <w:tcW w:w="4372" w:type="dxa"/>
          </w:tcPr>
          <w:p w14:paraId="7EE22632" w14:textId="77777777" w:rsidR="00277DE9" w:rsidRPr="00B825C0" w:rsidRDefault="00277DE9" w:rsidP="001877F6">
            <w:pPr>
              <w:pStyle w:val="ListParagraph"/>
              <w:spacing w:after="120" w:line="276" w:lineRule="auto"/>
              <w:ind w:left="0"/>
              <w:rPr>
                <w:rFonts w:ascii="Arial" w:hAnsi="Arial" w:cs="Arial"/>
                <w:b/>
                <w:bCs/>
                <w:sz w:val="24"/>
                <w:szCs w:val="24"/>
                <w:shd w:val="clear" w:color="auto" w:fill="FFFFFF"/>
              </w:rPr>
            </w:pPr>
            <w:r w:rsidRPr="00B825C0">
              <w:rPr>
                <w:rFonts w:ascii="Arial" w:hAnsi="Arial" w:cs="Arial"/>
                <w:b/>
                <w:bCs/>
                <w:sz w:val="24"/>
                <w:szCs w:val="24"/>
                <w:shd w:val="clear" w:color="auto" w:fill="FFFFFF"/>
              </w:rPr>
              <w:t>PERCENTAGE</w:t>
            </w:r>
          </w:p>
        </w:tc>
      </w:tr>
      <w:tr w:rsidR="00277DE9" w14:paraId="30B82383" w14:textId="77777777" w:rsidTr="00277DE9">
        <w:tc>
          <w:tcPr>
            <w:tcW w:w="4842" w:type="dxa"/>
          </w:tcPr>
          <w:p w14:paraId="6AFE4DFB" w14:textId="77777777" w:rsidR="00277DE9" w:rsidRPr="00B825C0" w:rsidRDefault="00277DE9" w:rsidP="001877F6">
            <w:pPr>
              <w:pStyle w:val="ListParagraph"/>
              <w:spacing w:after="120" w:line="276" w:lineRule="auto"/>
              <w:ind w:left="0"/>
              <w:rPr>
                <w:rFonts w:ascii="Arial" w:hAnsi="Arial" w:cs="Arial"/>
                <w:sz w:val="24"/>
                <w:szCs w:val="24"/>
                <w:shd w:val="clear" w:color="auto" w:fill="FFFFFF"/>
              </w:rPr>
            </w:pPr>
            <w:r>
              <w:rPr>
                <w:rFonts w:ascii="Arial" w:hAnsi="Arial" w:cs="Arial"/>
                <w:sz w:val="24"/>
                <w:szCs w:val="24"/>
                <w:shd w:val="clear" w:color="auto" w:fill="FFFFFF"/>
              </w:rPr>
              <w:t>White British</w:t>
            </w:r>
          </w:p>
        </w:tc>
        <w:tc>
          <w:tcPr>
            <w:tcW w:w="4372" w:type="dxa"/>
          </w:tcPr>
          <w:p w14:paraId="39028514" w14:textId="77777777" w:rsidR="00277DE9" w:rsidRDefault="00277DE9" w:rsidP="001877F6">
            <w:pPr>
              <w:pStyle w:val="ListParagraph"/>
              <w:spacing w:after="120" w:line="276" w:lineRule="auto"/>
              <w:ind w:left="0"/>
              <w:rPr>
                <w:rFonts w:ascii="Arial" w:hAnsi="Arial" w:cs="Arial"/>
                <w:sz w:val="24"/>
                <w:szCs w:val="24"/>
                <w:shd w:val="clear" w:color="auto" w:fill="FFFFFF"/>
              </w:rPr>
            </w:pPr>
            <w:r>
              <w:rPr>
                <w:rFonts w:ascii="Arial" w:hAnsi="Arial" w:cs="Arial"/>
                <w:sz w:val="24"/>
                <w:szCs w:val="24"/>
                <w:shd w:val="clear" w:color="auto" w:fill="FFFFFF"/>
              </w:rPr>
              <w:t>40%</w:t>
            </w:r>
          </w:p>
        </w:tc>
      </w:tr>
      <w:tr w:rsidR="00277DE9" w14:paraId="00B0944A" w14:textId="77777777" w:rsidTr="00277DE9">
        <w:tc>
          <w:tcPr>
            <w:tcW w:w="4842" w:type="dxa"/>
          </w:tcPr>
          <w:p w14:paraId="23372ADD" w14:textId="77777777" w:rsidR="00277DE9" w:rsidRDefault="00277DE9" w:rsidP="001877F6">
            <w:pPr>
              <w:pStyle w:val="ListParagraph"/>
              <w:spacing w:after="120" w:line="276" w:lineRule="auto"/>
              <w:ind w:left="0"/>
              <w:rPr>
                <w:rFonts w:ascii="Arial" w:hAnsi="Arial" w:cs="Arial"/>
                <w:sz w:val="24"/>
                <w:szCs w:val="24"/>
                <w:shd w:val="clear" w:color="auto" w:fill="FFFFFF"/>
              </w:rPr>
            </w:pPr>
            <w:r>
              <w:rPr>
                <w:rFonts w:ascii="Arial" w:hAnsi="Arial" w:cs="Arial"/>
                <w:sz w:val="24"/>
                <w:szCs w:val="24"/>
                <w:shd w:val="clear" w:color="auto" w:fill="FFFFFF"/>
              </w:rPr>
              <w:t>White Scottish</w:t>
            </w:r>
          </w:p>
        </w:tc>
        <w:tc>
          <w:tcPr>
            <w:tcW w:w="4372" w:type="dxa"/>
          </w:tcPr>
          <w:p w14:paraId="167424B3" w14:textId="77777777" w:rsidR="00277DE9" w:rsidRDefault="00277DE9" w:rsidP="001877F6">
            <w:pPr>
              <w:pStyle w:val="ListParagraph"/>
              <w:spacing w:after="120" w:line="276" w:lineRule="auto"/>
              <w:ind w:left="0"/>
              <w:rPr>
                <w:rFonts w:ascii="Arial" w:hAnsi="Arial" w:cs="Arial"/>
                <w:sz w:val="24"/>
                <w:szCs w:val="24"/>
                <w:shd w:val="clear" w:color="auto" w:fill="FFFFFF"/>
              </w:rPr>
            </w:pPr>
            <w:r>
              <w:rPr>
                <w:rFonts w:ascii="Arial" w:hAnsi="Arial" w:cs="Arial"/>
                <w:sz w:val="24"/>
                <w:szCs w:val="24"/>
                <w:shd w:val="clear" w:color="auto" w:fill="FFFFFF"/>
              </w:rPr>
              <w:t>16%</w:t>
            </w:r>
          </w:p>
        </w:tc>
      </w:tr>
      <w:tr w:rsidR="00277DE9" w14:paraId="24EA12CB" w14:textId="77777777" w:rsidTr="00277DE9">
        <w:tc>
          <w:tcPr>
            <w:tcW w:w="4842" w:type="dxa"/>
          </w:tcPr>
          <w:p w14:paraId="11358346" w14:textId="77777777" w:rsidR="00277DE9" w:rsidRDefault="00277DE9" w:rsidP="001877F6">
            <w:pPr>
              <w:pStyle w:val="ListParagraph"/>
              <w:spacing w:after="120" w:line="276" w:lineRule="auto"/>
              <w:ind w:left="0"/>
              <w:rPr>
                <w:rFonts w:ascii="Arial" w:hAnsi="Arial" w:cs="Arial"/>
                <w:sz w:val="24"/>
                <w:szCs w:val="24"/>
                <w:shd w:val="clear" w:color="auto" w:fill="FFFFFF"/>
              </w:rPr>
            </w:pPr>
            <w:r>
              <w:rPr>
                <w:rFonts w:ascii="Arial" w:hAnsi="Arial" w:cs="Arial"/>
                <w:sz w:val="24"/>
                <w:szCs w:val="24"/>
                <w:shd w:val="clear" w:color="auto" w:fill="FFFFFF"/>
              </w:rPr>
              <w:t>Other White Background</w:t>
            </w:r>
          </w:p>
        </w:tc>
        <w:tc>
          <w:tcPr>
            <w:tcW w:w="4372" w:type="dxa"/>
          </w:tcPr>
          <w:p w14:paraId="4CF9C43C" w14:textId="77777777" w:rsidR="00277DE9" w:rsidRDefault="00277DE9" w:rsidP="001877F6">
            <w:pPr>
              <w:pStyle w:val="ListParagraph"/>
              <w:spacing w:after="120" w:line="276" w:lineRule="auto"/>
              <w:ind w:left="0"/>
              <w:rPr>
                <w:rFonts w:ascii="Arial" w:hAnsi="Arial" w:cs="Arial"/>
                <w:sz w:val="24"/>
                <w:szCs w:val="24"/>
                <w:shd w:val="clear" w:color="auto" w:fill="FFFFFF"/>
              </w:rPr>
            </w:pPr>
            <w:r>
              <w:rPr>
                <w:rFonts w:ascii="Arial" w:hAnsi="Arial" w:cs="Arial"/>
                <w:sz w:val="24"/>
                <w:szCs w:val="24"/>
                <w:shd w:val="clear" w:color="auto" w:fill="FFFFFF"/>
              </w:rPr>
              <w:t>4%</w:t>
            </w:r>
          </w:p>
        </w:tc>
      </w:tr>
      <w:tr w:rsidR="00277DE9" w14:paraId="554AEE18" w14:textId="77777777" w:rsidTr="00277DE9">
        <w:tc>
          <w:tcPr>
            <w:tcW w:w="4842" w:type="dxa"/>
          </w:tcPr>
          <w:p w14:paraId="42DFC193" w14:textId="77777777" w:rsidR="00277DE9" w:rsidRDefault="00277DE9" w:rsidP="001877F6">
            <w:pPr>
              <w:pStyle w:val="ListParagraph"/>
              <w:spacing w:after="120" w:line="276" w:lineRule="auto"/>
              <w:ind w:left="0"/>
              <w:rPr>
                <w:rFonts w:ascii="Arial" w:hAnsi="Arial" w:cs="Arial"/>
                <w:sz w:val="24"/>
                <w:szCs w:val="24"/>
                <w:shd w:val="clear" w:color="auto" w:fill="FFFFFF"/>
              </w:rPr>
            </w:pPr>
            <w:r>
              <w:rPr>
                <w:rFonts w:ascii="Arial" w:hAnsi="Arial" w:cs="Arial"/>
                <w:sz w:val="24"/>
                <w:szCs w:val="24"/>
                <w:shd w:val="clear" w:color="auto" w:fill="FFFFFF"/>
              </w:rPr>
              <w:t>Black or Black British - Caribbean</w:t>
            </w:r>
          </w:p>
        </w:tc>
        <w:tc>
          <w:tcPr>
            <w:tcW w:w="4372" w:type="dxa"/>
          </w:tcPr>
          <w:p w14:paraId="1D11F75A" w14:textId="77777777" w:rsidR="00277DE9" w:rsidRDefault="00277DE9" w:rsidP="001877F6">
            <w:pPr>
              <w:pStyle w:val="ListParagraph"/>
              <w:spacing w:after="120" w:line="276" w:lineRule="auto"/>
              <w:ind w:left="0"/>
              <w:rPr>
                <w:rFonts w:ascii="Arial" w:hAnsi="Arial" w:cs="Arial"/>
                <w:sz w:val="24"/>
                <w:szCs w:val="24"/>
                <w:shd w:val="clear" w:color="auto" w:fill="FFFFFF"/>
              </w:rPr>
            </w:pPr>
            <w:r>
              <w:rPr>
                <w:rFonts w:ascii="Arial" w:hAnsi="Arial" w:cs="Arial"/>
                <w:sz w:val="24"/>
                <w:szCs w:val="24"/>
                <w:shd w:val="clear" w:color="auto" w:fill="FFFFFF"/>
              </w:rPr>
              <w:t>4%</w:t>
            </w:r>
          </w:p>
        </w:tc>
      </w:tr>
      <w:tr w:rsidR="00277DE9" w14:paraId="6E426B5D" w14:textId="77777777" w:rsidTr="00277DE9">
        <w:tc>
          <w:tcPr>
            <w:tcW w:w="4842" w:type="dxa"/>
          </w:tcPr>
          <w:p w14:paraId="369CE39D" w14:textId="77777777" w:rsidR="00277DE9" w:rsidRDefault="00277DE9" w:rsidP="001877F6">
            <w:pPr>
              <w:pStyle w:val="ListParagraph"/>
              <w:spacing w:after="120" w:line="276" w:lineRule="auto"/>
              <w:ind w:left="0"/>
              <w:rPr>
                <w:rFonts w:ascii="Arial" w:hAnsi="Arial" w:cs="Arial"/>
                <w:sz w:val="24"/>
                <w:szCs w:val="24"/>
                <w:shd w:val="clear" w:color="auto" w:fill="FFFFFF"/>
              </w:rPr>
            </w:pPr>
            <w:r>
              <w:rPr>
                <w:rFonts w:ascii="Arial" w:hAnsi="Arial" w:cs="Arial"/>
                <w:sz w:val="24"/>
                <w:szCs w:val="24"/>
                <w:shd w:val="clear" w:color="auto" w:fill="FFFFFF"/>
              </w:rPr>
              <w:t>Black or Black British - African</w:t>
            </w:r>
          </w:p>
        </w:tc>
        <w:tc>
          <w:tcPr>
            <w:tcW w:w="4372" w:type="dxa"/>
          </w:tcPr>
          <w:p w14:paraId="3BD4D028" w14:textId="77777777" w:rsidR="00277DE9" w:rsidRDefault="00277DE9" w:rsidP="001877F6">
            <w:pPr>
              <w:pStyle w:val="ListParagraph"/>
              <w:spacing w:after="120" w:line="276" w:lineRule="auto"/>
              <w:ind w:left="0"/>
              <w:rPr>
                <w:rFonts w:ascii="Arial" w:hAnsi="Arial" w:cs="Arial"/>
                <w:sz w:val="24"/>
                <w:szCs w:val="24"/>
                <w:shd w:val="clear" w:color="auto" w:fill="FFFFFF"/>
              </w:rPr>
            </w:pPr>
            <w:r>
              <w:rPr>
                <w:rFonts w:ascii="Arial" w:hAnsi="Arial" w:cs="Arial"/>
                <w:sz w:val="24"/>
                <w:szCs w:val="24"/>
                <w:shd w:val="clear" w:color="auto" w:fill="FFFFFF"/>
              </w:rPr>
              <w:t>4%</w:t>
            </w:r>
          </w:p>
        </w:tc>
      </w:tr>
      <w:tr w:rsidR="00277DE9" w14:paraId="5D42C54E" w14:textId="77777777" w:rsidTr="00277DE9">
        <w:tc>
          <w:tcPr>
            <w:tcW w:w="4842" w:type="dxa"/>
          </w:tcPr>
          <w:p w14:paraId="051DD104" w14:textId="77777777" w:rsidR="00277DE9" w:rsidRDefault="00277DE9" w:rsidP="001877F6">
            <w:pPr>
              <w:pStyle w:val="ListParagraph"/>
              <w:spacing w:after="120" w:line="276" w:lineRule="auto"/>
              <w:ind w:left="0"/>
              <w:rPr>
                <w:rFonts w:ascii="Arial" w:hAnsi="Arial" w:cs="Arial"/>
                <w:sz w:val="24"/>
                <w:szCs w:val="24"/>
                <w:shd w:val="clear" w:color="auto" w:fill="FFFFFF"/>
              </w:rPr>
            </w:pPr>
            <w:r>
              <w:rPr>
                <w:rFonts w:ascii="Arial" w:hAnsi="Arial" w:cs="Arial"/>
                <w:sz w:val="24"/>
                <w:szCs w:val="24"/>
                <w:shd w:val="clear" w:color="auto" w:fill="FFFFFF"/>
              </w:rPr>
              <w:t>Other Black Background</w:t>
            </w:r>
          </w:p>
        </w:tc>
        <w:tc>
          <w:tcPr>
            <w:tcW w:w="4372" w:type="dxa"/>
          </w:tcPr>
          <w:p w14:paraId="63E82E3D" w14:textId="77777777" w:rsidR="00277DE9" w:rsidRDefault="00277DE9" w:rsidP="001877F6">
            <w:pPr>
              <w:pStyle w:val="ListParagraph"/>
              <w:spacing w:after="120" w:line="276" w:lineRule="auto"/>
              <w:ind w:left="0"/>
              <w:rPr>
                <w:rFonts w:ascii="Arial" w:hAnsi="Arial" w:cs="Arial"/>
                <w:sz w:val="24"/>
                <w:szCs w:val="24"/>
                <w:shd w:val="clear" w:color="auto" w:fill="FFFFFF"/>
              </w:rPr>
            </w:pPr>
            <w:r>
              <w:rPr>
                <w:rFonts w:ascii="Arial" w:hAnsi="Arial" w:cs="Arial"/>
                <w:sz w:val="24"/>
                <w:szCs w:val="24"/>
                <w:shd w:val="clear" w:color="auto" w:fill="FFFFFF"/>
              </w:rPr>
              <w:t>4%</w:t>
            </w:r>
          </w:p>
        </w:tc>
      </w:tr>
      <w:tr w:rsidR="00277DE9" w14:paraId="1AF71E71" w14:textId="77777777" w:rsidTr="00277DE9">
        <w:tc>
          <w:tcPr>
            <w:tcW w:w="4842" w:type="dxa"/>
          </w:tcPr>
          <w:p w14:paraId="659837CC" w14:textId="77777777" w:rsidR="00277DE9" w:rsidRDefault="00277DE9" w:rsidP="001877F6">
            <w:pPr>
              <w:pStyle w:val="ListParagraph"/>
              <w:spacing w:after="120" w:line="276" w:lineRule="auto"/>
              <w:ind w:left="0"/>
              <w:rPr>
                <w:rFonts w:ascii="Arial" w:hAnsi="Arial" w:cs="Arial"/>
                <w:sz w:val="24"/>
                <w:szCs w:val="24"/>
                <w:shd w:val="clear" w:color="auto" w:fill="FFFFFF"/>
              </w:rPr>
            </w:pPr>
            <w:r>
              <w:rPr>
                <w:rFonts w:ascii="Arial" w:hAnsi="Arial" w:cs="Arial"/>
                <w:sz w:val="24"/>
                <w:szCs w:val="24"/>
                <w:shd w:val="clear" w:color="auto" w:fill="FFFFFF"/>
              </w:rPr>
              <w:t>Other Mixed Background</w:t>
            </w:r>
          </w:p>
        </w:tc>
        <w:tc>
          <w:tcPr>
            <w:tcW w:w="4372" w:type="dxa"/>
          </w:tcPr>
          <w:p w14:paraId="1BA16D9F" w14:textId="77777777" w:rsidR="00277DE9" w:rsidRDefault="00277DE9" w:rsidP="001877F6">
            <w:pPr>
              <w:pStyle w:val="ListParagraph"/>
              <w:spacing w:after="120" w:line="276" w:lineRule="auto"/>
              <w:ind w:left="0"/>
              <w:rPr>
                <w:rFonts w:ascii="Arial" w:hAnsi="Arial" w:cs="Arial"/>
                <w:sz w:val="24"/>
                <w:szCs w:val="24"/>
                <w:shd w:val="clear" w:color="auto" w:fill="FFFFFF"/>
              </w:rPr>
            </w:pPr>
            <w:r>
              <w:rPr>
                <w:rFonts w:ascii="Arial" w:hAnsi="Arial" w:cs="Arial"/>
                <w:sz w:val="24"/>
                <w:szCs w:val="24"/>
                <w:shd w:val="clear" w:color="auto" w:fill="FFFFFF"/>
              </w:rPr>
              <w:t>4%</w:t>
            </w:r>
          </w:p>
        </w:tc>
      </w:tr>
      <w:tr w:rsidR="00277DE9" w14:paraId="0D4FFFEE" w14:textId="77777777" w:rsidTr="00277DE9">
        <w:tc>
          <w:tcPr>
            <w:tcW w:w="4842" w:type="dxa"/>
          </w:tcPr>
          <w:p w14:paraId="155798F0" w14:textId="77777777" w:rsidR="00277DE9" w:rsidRDefault="00277DE9" w:rsidP="001877F6">
            <w:pPr>
              <w:pStyle w:val="ListParagraph"/>
              <w:spacing w:after="120" w:line="276" w:lineRule="auto"/>
              <w:ind w:left="0"/>
              <w:rPr>
                <w:rFonts w:ascii="Arial" w:hAnsi="Arial" w:cs="Arial"/>
                <w:sz w:val="24"/>
                <w:szCs w:val="24"/>
                <w:shd w:val="clear" w:color="auto" w:fill="FFFFFF"/>
              </w:rPr>
            </w:pPr>
            <w:r>
              <w:rPr>
                <w:rFonts w:ascii="Arial" w:hAnsi="Arial" w:cs="Arial"/>
                <w:sz w:val="24"/>
                <w:szCs w:val="24"/>
                <w:shd w:val="clear" w:color="auto" w:fill="FFFFFF"/>
              </w:rPr>
              <w:t>Not known</w:t>
            </w:r>
          </w:p>
        </w:tc>
        <w:tc>
          <w:tcPr>
            <w:tcW w:w="4372" w:type="dxa"/>
          </w:tcPr>
          <w:p w14:paraId="5C92F864" w14:textId="77777777" w:rsidR="00277DE9" w:rsidRDefault="00277DE9" w:rsidP="001877F6">
            <w:pPr>
              <w:pStyle w:val="ListParagraph"/>
              <w:spacing w:after="120" w:line="276" w:lineRule="auto"/>
              <w:ind w:left="0"/>
              <w:rPr>
                <w:rFonts w:ascii="Arial" w:hAnsi="Arial" w:cs="Arial"/>
                <w:sz w:val="24"/>
                <w:szCs w:val="24"/>
                <w:shd w:val="clear" w:color="auto" w:fill="FFFFFF"/>
              </w:rPr>
            </w:pPr>
            <w:r>
              <w:rPr>
                <w:rFonts w:ascii="Arial" w:hAnsi="Arial" w:cs="Arial"/>
                <w:sz w:val="24"/>
                <w:szCs w:val="24"/>
                <w:shd w:val="clear" w:color="auto" w:fill="FFFFFF"/>
              </w:rPr>
              <w:t>16%</w:t>
            </w:r>
          </w:p>
        </w:tc>
      </w:tr>
      <w:tr w:rsidR="00277DE9" w14:paraId="69E5BA7E" w14:textId="77777777" w:rsidTr="00277DE9">
        <w:tc>
          <w:tcPr>
            <w:tcW w:w="4842" w:type="dxa"/>
          </w:tcPr>
          <w:p w14:paraId="5119FAA4" w14:textId="77777777" w:rsidR="00277DE9" w:rsidRDefault="00277DE9" w:rsidP="001877F6">
            <w:pPr>
              <w:pStyle w:val="ListParagraph"/>
              <w:spacing w:after="120" w:line="276" w:lineRule="auto"/>
              <w:ind w:left="0"/>
              <w:rPr>
                <w:rFonts w:ascii="Arial" w:hAnsi="Arial" w:cs="Arial"/>
                <w:sz w:val="24"/>
                <w:szCs w:val="24"/>
                <w:shd w:val="clear" w:color="auto" w:fill="FFFFFF"/>
              </w:rPr>
            </w:pPr>
            <w:r>
              <w:rPr>
                <w:rFonts w:ascii="Arial" w:hAnsi="Arial" w:cs="Arial"/>
                <w:sz w:val="24"/>
                <w:szCs w:val="24"/>
                <w:shd w:val="clear" w:color="auto" w:fill="FFFFFF"/>
              </w:rPr>
              <w:t>Prefer not to disclose</w:t>
            </w:r>
          </w:p>
        </w:tc>
        <w:tc>
          <w:tcPr>
            <w:tcW w:w="4372" w:type="dxa"/>
          </w:tcPr>
          <w:p w14:paraId="6CB153B8" w14:textId="77777777" w:rsidR="00277DE9" w:rsidRDefault="00277DE9" w:rsidP="001877F6">
            <w:pPr>
              <w:pStyle w:val="ListParagraph"/>
              <w:spacing w:after="120" w:line="276" w:lineRule="auto"/>
              <w:ind w:left="0"/>
              <w:rPr>
                <w:rFonts w:ascii="Arial" w:hAnsi="Arial" w:cs="Arial"/>
                <w:sz w:val="24"/>
                <w:szCs w:val="24"/>
                <w:shd w:val="clear" w:color="auto" w:fill="FFFFFF"/>
              </w:rPr>
            </w:pPr>
            <w:r>
              <w:rPr>
                <w:rFonts w:ascii="Arial" w:hAnsi="Arial" w:cs="Arial"/>
                <w:sz w:val="24"/>
                <w:szCs w:val="24"/>
                <w:shd w:val="clear" w:color="auto" w:fill="FFFFFF"/>
              </w:rPr>
              <w:t>8%</w:t>
            </w:r>
          </w:p>
        </w:tc>
      </w:tr>
    </w:tbl>
    <w:p w14:paraId="2D306F55" w14:textId="19520E7C" w:rsidR="00277DE9" w:rsidRDefault="00277DE9" w:rsidP="00277DE9">
      <w:pPr>
        <w:pStyle w:val="NormalWeb"/>
        <w:shd w:val="clear" w:color="auto" w:fill="FFFFFF"/>
        <w:spacing w:before="0" w:beforeAutospacing="0" w:after="120" w:afterAutospacing="0" w:line="276" w:lineRule="auto"/>
        <w:rPr>
          <w:rFonts w:ascii="Arial" w:hAnsi="Arial" w:cs="Arial"/>
          <w:b/>
          <w:bCs/>
        </w:rPr>
      </w:pPr>
      <w:r>
        <w:rPr>
          <w:rFonts w:ascii="Arial" w:hAnsi="Arial" w:cs="Arial"/>
          <w:b/>
          <w:bCs/>
        </w:rPr>
        <w:t xml:space="preserve">Table 6: </w:t>
      </w:r>
      <w:r w:rsidRPr="000616FD">
        <w:rPr>
          <w:rFonts w:ascii="Arial" w:hAnsi="Arial" w:cs="Arial"/>
        </w:rPr>
        <w:t>Court composition by ethnicity</w:t>
      </w:r>
    </w:p>
    <w:p w14:paraId="362BD783" w14:textId="77777777" w:rsidR="0087536E" w:rsidRDefault="0087536E"/>
    <w:sectPr w:rsidR="00875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4C7E2E"/>
    <w:multiLevelType w:val="hybridMultilevel"/>
    <w:tmpl w:val="69A8B18A"/>
    <w:lvl w:ilvl="0" w:tplc="9462E11C">
      <w:start w:val="1"/>
      <w:numFmt w:val="decimal"/>
      <w:lvlText w:val="3.1.%1"/>
      <w:lvlJc w:val="left"/>
      <w:pPr>
        <w:ind w:left="1247" w:hanging="887"/>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0398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E9"/>
    <w:rsid w:val="00277DE9"/>
    <w:rsid w:val="0087536E"/>
    <w:rsid w:val="009A673C"/>
    <w:rsid w:val="00A11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DE539"/>
  <w15:chartTrackingRefBased/>
  <w15:docId w15:val="{BA129BC9-4668-45B4-95B6-72154D57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DE9"/>
    <w:rPr>
      <w:kern w:val="0"/>
      <w14:ligatures w14:val="none"/>
    </w:rPr>
  </w:style>
  <w:style w:type="paragraph" w:styleId="Heading1">
    <w:name w:val="heading 1"/>
    <w:basedOn w:val="Normal"/>
    <w:next w:val="Normal"/>
    <w:link w:val="Heading1Char"/>
    <w:uiPriority w:val="9"/>
    <w:qFormat/>
    <w:rsid w:val="00277D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D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D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D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D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D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D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D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D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D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D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D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D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D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D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D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D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DE9"/>
    <w:rPr>
      <w:rFonts w:eastAsiaTheme="majorEastAsia" w:cstheme="majorBidi"/>
      <w:color w:val="272727" w:themeColor="text1" w:themeTint="D8"/>
    </w:rPr>
  </w:style>
  <w:style w:type="paragraph" w:styleId="Title">
    <w:name w:val="Title"/>
    <w:basedOn w:val="Normal"/>
    <w:next w:val="Normal"/>
    <w:link w:val="TitleChar"/>
    <w:uiPriority w:val="10"/>
    <w:qFormat/>
    <w:rsid w:val="00277D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D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D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D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DE9"/>
    <w:pPr>
      <w:spacing w:before="160"/>
      <w:jc w:val="center"/>
    </w:pPr>
    <w:rPr>
      <w:i/>
      <w:iCs/>
      <w:color w:val="404040" w:themeColor="text1" w:themeTint="BF"/>
    </w:rPr>
  </w:style>
  <w:style w:type="character" w:customStyle="1" w:styleId="QuoteChar">
    <w:name w:val="Quote Char"/>
    <w:basedOn w:val="DefaultParagraphFont"/>
    <w:link w:val="Quote"/>
    <w:uiPriority w:val="29"/>
    <w:rsid w:val="00277DE9"/>
    <w:rPr>
      <w:i/>
      <w:iCs/>
      <w:color w:val="404040" w:themeColor="text1" w:themeTint="BF"/>
    </w:rPr>
  </w:style>
  <w:style w:type="paragraph" w:styleId="ListParagraph">
    <w:name w:val="List Paragraph"/>
    <w:aliases w:val="Bulleted"/>
    <w:basedOn w:val="Normal"/>
    <w:link w:val="ListParagraphChar"/>
    <w:uiPriority w:val="34"/>
    <w:qFormat/>
    <w:rsid w:val="00277DE9"/>
    <w:pPr>
      <w:ind w:left="720"/>
      <w:contextualSpacing/>
    </w:pPr>
  </w:style>
  <w:style w:type="character" w:styleId="IntenseEmphasis">
    <w:name w:val="Intense Emphasis"/>
    <w:basedOn w:val="DefaultParagraphFont"/>
    <w:uiPriority w:val="21"/>
    <w:qFormat/>
    <w:rsid w:val="00277DE9"/>
    <w:rPr>
      <w:i/>
      <w:iCs/>
      <w:color w:val="0F4761" w:themeColor="accent1" w:themeShade="BF"/>
    </w:rPr>
  </w:style>
  <w:style w:type="paragraph" w:styleId="IntenseQuote">
    <w:name w:val="Intense Quote"/>
    <w:basedOn w:val="Normal"/>
    <w:next w:val="Normal"/>
    <w:link w:val="IntenseQuoteChar"/>
    <w:uiPriority w:val="30"/>
    <w:qFormat/>
    <w:rsid w:val="00277D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DE9"/>
    <w:rPr>
      <w:i/>
      <w:iCs/>
      <w:color w:val="0F4761" w:themeColor="accent1" w:themeShade="BF"/>
    </w:rPr>
  </w:style>
  <w:style w:type="character" w:styleId="IntenseReference">
    <w:name w:val="Intense Reference"/>
    <w:basedOn w:val="DefaultParagraphFont"/>
    <w:uiPriority w:val="32"/>
    <w:qFormat/>
    <w:rsid w:val="00277DE9"/>
    <w:rPr>
      <w:b/>
      <w:bCs/>
      <w:smallCaps/>
      <w:color w:val="0F4761" w:themeColor="accent1" w:themeShade="BF"/>
      <w:spacing w:val="5"/>
    </w:rPr>
  </w:style>
  <w:style w:type="paragraph" w:styleId="NormalWeb">
    <w:name w:val="Normal (Web)"/>
    <w:basedOn w:val="Normal"/>
    <w:uiPriority w:val="99"/>
    <w:unhideWhenUsed/>
    <w:rsid w:val="00277DE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277DE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ed Char"/>
    <w:basedOn w:val="DefaultParagraphFont"/>
    <w:link w:val="ListParagraph"/>
    <w:uiPriority w:val="34"/>
    <w:locked/>
    <w:rsid w:val="00277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804</Words>
  <Characters>4586</Characters>
  <Application>Microsoft Office Word</Application>
  <DocSecurity>0</DocSecurity>
  <Lines>38</Lines>
  <Paragraphs>10</Paragraphs>
  <ScaleCrop>false</ScaleCrop>
  <Company>University of Aberdeen</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Matysova, Clare</dc:creator>
  <cp:keywords/>
  <dc:description/>
  <cp:lastModifiedBy>Matysova, Clare</cp:lastModifiedBy>
  <cp:revision>1</cp:revision>
  <dcterms:created xsi:type="dcterms:W3CDTF">2024-08-14T09:53:00Z</dcterms:created>
  <dcterms:modified xsi:type="dcterms:W3CDTF">2024-08-14T09:59:00Z</dcterms:modified>
</cp:coreProperties>
</file>