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9822" w14:textId="77777777" w:rsidR="00F33436" w:rsidRDefault="00F33436" w:rsidP="00F33436"/>
    <w:p w14:paraId="45430B8B" w14:textId="3D647E3B" w:rsidR="00F33436" w:rsidRDefault="00F33436" w:rsidP="00F33436">
      <w:r>
        <w:rPr>
          <w:noProof/>
        </w:rPr>
        <w:drawing>
          <wp:inline distT="0" distB="0" distL="0" distR="0" wp14:anchorId="3A58D575" wp14:editId="33902EE9">
            <wp:extent cx="1304925" cy="1085850"/>
            <wp:effectExtent l="0" t="0" r="9525" b="0"/>
            <wp:docPr id="2" name="Picture 2" descr="Diagram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C05E" w14:textId="0C6CBCC6" w:rsidR="00F33436" w:rsidRDefault="00897F92" w:rsidP="00F33436">
      <w:pPr>
        <w:rPr>
          <w:rFonts w:ascii="Arial Nova" w:hAnsi="Arial Nova"/>
          <w:b/>
          <w:bCs/>
          <w:color w:val="002060"/>
          <w:sz w:val="36"/>
          <w:szCs w:val="36"/>
        </w:rPr>
      </w:pPr>
      <w:r>
        <w:rPr>
          <w:rFonts w:ascii="Arial Nova" w:hAnsi="Arial Nova"/>
          <w:b/>
          <w:bCs/>
          <w:color w:val="002060"/>
          <w:sz w:val="36"/>
          <w:szCs w:val="36"/>
        </w:rPr>
        <w:t>21</w:t>
      </w:r>
      <w:r w:rsidR="007570FB">
        <w:rPr>
          <w:rFonts w:ascii="Arial Nova" w:hAnsi="Arial Nova"/>
          <w:b/>
          <w:bCs/>
          <w:color w:val="002060"/>
          <w:sz w:val="36"/>
          <w:szCs w:val="36"/>
        </w:rPr>
        <w:t xml:space="preserve"> June</w:t>
      </w:r>
      <w:r w:rsidR="005D30BD">
        <w:rPr>
          <w:rFonts w:ascii="Arial Nova" w:hAnsi="Arial Nova"/>
          <w:b/>
          <w:bCs/>
          <w:color w:val="002060"/>
          <w:sz w:val="36"/>
          <w:szCs w:val="36"/>
        </w:rPr>
        <w:t xml:space="preserve"> </w:t>
      </w:r>
      <w:r w:rsidR="006C5BEC">
        <w:rPr>
          <w:rFonts w:ascii="Arial Nova" w:hAnsi="Arial Nova"/>
          <w:b/>
          <w:bCs/>
          <w:color w:val="002060"/>
          <w:sz w:val="36"/>
          <w:szCs w:val="36"/>
        </w:rPr>
        <w:t>2024</w:t>
      </w:r>
    </w:p>
    <w:p w14:paraId="0EC6AD12" w14:textId="77777777" w:rsidR="00F33436" w:rsidRDefault="00F33436" w:rsidP="00F33436">
      <w:pPr>
        <w:rPr>
          <w:rFonts w:ascii="Arial Nova" w:hAnsi="Arial Nova"/>
          <w:b/>
          <w:bCs/>
          <w:color w:val="002060"/>
          <w:sz w:val="36"/>
          <w:szCs w:val="36"/>
        </w:rPr>
      </w:pPr>
      <w:r>
        <w:rPr>
          <w:rFonts w:ascii="Arial Nova" w:hAnsi="Arial Nova"/>
          <w:b/>
          <w:bCs/>
          <w:color w:val="002060"/>
          <w:sz w:val="36"/>
          <w:szCs w:val="36"/>
        </w:rPr>
        <w:t>UKRI Funding &amp; Events Bulletin</w:t>
      </w:r>
    </w:p>
    <w:p w14:paraId="76EA339F" w14:textId="77777777" w:rsidR="00F33436" w:rsidRDefault="00F33436" w:rsidP="00F33436">
      <w:pPr>
        <w:rPr>
          <w:rFonts w:ascii="Arial Nova" w:hAnsi="Arial Nova"/>
          <w:b/>
          <w:bCs/>
          <w:color w:val="44546A"/>
          <w:sz w:val="36"/>
          <w:szCs w:val="36"/>
        </w:rPr>
      </w:pPr>
      <w:r>
        <w:rPr>
          <w:rFonts w:ascii="Arial Nova" w:hAnsi="Arial Nova"/>
          <w:b/>
          <w:bCs/>
          <w:color w:val="CC9900"/>
          <w:sz w:val="36"/>
          <w:szCs w:val="36"/>
        </w:rPr>
        <w:t>Strategic and Interdisciplinary calls</w:t>
      </w:r>
    </w:p>
    <w:p w14:paraId="54FDB799" w14:textId="77777777" w:rsidR="00F33436" w:rsidRDefault="00F33436" w:rsidP="00F33436">
      <w:pPr>
        <w:rPr>
          <w:rFonts w:ascii="Arial Nova" w:hAnsi="Arial Nova"/>
        </w:rPr>
      </w:pPr>
    </w:p>
    <w:p w14:paraId="64022FEC" w14:textId="77777777" w:rsidR="00BF6648" w:rsidRPr="00216504" w:rsidRDefault="00F33436" w:rsidP="00F33436">
      <w:pPr>
        <w:rPr>
          <w:sz w:val="24"/>
          <w:szCs w:val="24"/>
        </w:rPr>
      </w:pPr>
      <w:r w:rsidRPr="00216504">
        <w:rPr>
          <w:sz w:val="24"/>
          <w:szCs w:val="24"/>
        </w:rPr>
        <w:t xml:space="preserve">Please find </w:t>
      </w:r>
      <w:r w:rsidR="00AA1E09" w:rsidRPr="00216504">
        <w:rPr>
          <w:sz w:val="24"/>
          <w:szCs w:val="24"/>
        </w:rPr>
        <w:t>summary</w:t>
      </w:r>
      <w:r w:rsidRPr="00216504">
        <w:rPr>
          <w:sz w:val="24"/>
          <w:szCs w:val="24"/>
        </w:rPr>
        <w:t xml:space="preserve"> details below of current and upcoming strategic UKRI calls</w:t>
      </w:r>
      <w:r w:rsidR="00AA1E09" w:rsidRPr="00216504">
        <w:rPr>
          <w:sz w:val="24"/>
          <w:szCs w:val="24"/>
        </w:rPr>
        <w:t>.</w:t>
      </w:r>
      <w:r w:rsidRPr="00216504">
        <w:rPr>
          <w:sz w:val="24"/>
          <w:szCs w:val="24"/>
        </w:rPr>
        <w:t xml:space="preserve"> </w:t>
      </w:r>
    </w:p>
    <w:p w14:paraId="5B42ACA5" w14:textId="77777777" w:rsidR="00BF6648" w:rsidRPr="00216504" w:rsidRDefault="00BF6648" w:rsidP="00F33436">
      <w:pPr>
        <w:rPr>
          <w:sz w:val="24"/>
          <w:szCs w:val="24"/>
        </w:rPr>
      </w:pPr>
    </w:p>
    <w:p w14:paraId="01EA06E7" w14:textId="0BF34148" w:rsidR="00F33436" w:rsidRPr="00216504" w:rsidRDefault="00325073" w:rsidP="00F33436">
      <w:pPr>
        <w:rPr>
          <w:sz w:val="24"/>
          <w:szCs w:val="24"/>
        </w:rPr>
      </w:pPr>
      <w:r w:rsidRPr="00216504">
        <w:rPr>
          <w:sz w:val="24"/>
          <w:szCs w:val="24"/>
        </w:rPr>
        <w:t>S</w:t>
      </w:r>
      <w:r w:rsidR="00F33436" w:rsidRPr="00216504">
        <w:rPr>
          <w:sz w:val="24"/>
          <w:szCs w:val="24"/>
        </w:rPr>
        <w:t>elect calls</w:t>
      </w:r>
      <w:r w:rsidR="00684EA8" w:rsidRPr="00216504">
        <w:rPr>
          <w:sz w:val="24"/>
          <w:szCs w:val="24"/>
        </w:rPr>
        <w:t xml:space="preserve"> </w:t>
      </w:r>
      <w:r w:rsidR="00F33436" w:rsidRPr="00216504">
        <w:rPr>
          <w:sz w:val="24"/>
          <w:szCs w:val="24"/>
        </w:rPr>
        <w:t xml:space="preserve">of </w:t>
      </w:r>
      <w:proofErr w:type="gramStart"/>
      <w:r w:rsidR="00F33436" w:rsidRPr="00216504">
        <w:rPr>
          <w:sz w:val="24"/>
          <w:szCs w:val="24"/>
        </w:rPr>
        <w:t>particular relevance</w:t>
      </w:r>
      <w:proofErr w:type="gramEnd"/>
      <w:r w:rsidR="00F33436" w:rsidRPr="00216504">
        <w:rPr>
          <w:sz w:val="24"/>
          <w:szCs w:val="24"/>
        </w:rPr>
        <w:t xml:space="preserve"> to University of Aberdeen researchers </w:t>
      </w:r>
      <w:r w:rsidRPr="00216504">
        <w:rPr>
          <w:sz w:val="24"/>
          <w:szCs w:val="24"/>
        </w:rPr>
        <w:t xml:space="preserve">are highlighted </w:t>
      </w:r>
      <w:r w:rsidR="00F33436" w:rsidRPr="00216504">
        <w:rPr>
          <w:sz w:val="24"/>
          <w:szCs w:val="24"/>
        </w:rPr>
        <w:t xml:space="preserve">in the first table, with a full list of UKRI strategic and interdisciplinary calls </w:t>
      </w:r>
      <w:r w:rsidRPr="00216504">
        <w:rPr>
          <w:sz w:val="24"/>
          <w:szCs w:val="24"/>
        </w:rPr>
        <w:t>below this</w:t>
      </w:r>
      <w:r w:rsidR="00F33436" w:rsidRPr="00216504">
        <w:rPr>
          <w:sz w:val="24"/>
          <w:szCs w:val="24"/>
        </w:rPr>
        <w:t xml:space="preserve">. </w:t>
      </w:r>
    </w:p>
    <w:p w14:paraId="0A176E3D" w14:textId="77777777" w:rsidR="00F33436" w:rsidRPr="00216504" w:rsidRDefault="00F33436" w:rsidP="00F33436">
      <w:pPr>
        <w:rPr>
          <w:sz w:val="24"/>
          <w:szCs w:val="24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4406"/>
        <w:gridCol w:w="1517"/>
        <w:gridCol w:w="1306"/>
      </w:tblGrid>
      <w:tr w:rsidR="00F33436" w:rsidRPr="00216504" w14:paraId="3659DFDB" w14:textId="77777777" w:rsidTr="006C5BEC">
        <w:tc>
          <w:tcPr>
            <w:tcW w:w="9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3430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HIGHLIGHTS  </w:t>
            </w:r>
          </w:p>
          <w:p w14:paraId="4EE806CE" w14:textId="3C753E13" w:rsidR="00F33436" w:rsidRPr="00216504" w:rsidRDefault="00F33436">
            <w:pPr>
              <w:spacing w:line="252" w:lineRule="auto"/>
              <w:jc w:val="center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(</w:t>
            </w:r>
            <w:r w:rsidRPr="00216504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calls also appear in full table listing below)</w:t>
            </w:r>
          </w:p>
        </w:tc>
      </w:tr>
      <w:tr w:rsidR="00F33436" w:rsidRPr="00216504" w14:paraId="2E39C6AE" w14:textId="77777777" w:rsidTr="006C5BEC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B84A" w14:textId="77777777" w:rsidR="00F33436" w:rsidRPr="00216504" w:rsidRDefault="00F33436" w:rsidP="00B36EFC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olor w:val="FFFFFF" w:themeColor="background1"/>
                <w:sz w:val="24"/>
                <w:szCs w:val="24"/>
              </w:rPr>
              <w:t>CALL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BFA8" w14:textId="77777777" w:rsidR="00F33436" w:rsidRPr="00216504" w:rsidRDefault="00F33436" w:rsidP="00B36EFC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olor w:val="FFFFFF" w:themeColor="background1"/>
                <w:sz w:val="24"/>
                <w:szCs w:val="24"/>
              </w:rPr>
              <w:t>REMIT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329C6287" w14:textId="77777777" w:rsidR="00F33436" w:rsidRPr="00216504" w:rsidRDefault="00F33436" w:rsidP="00B36EFC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olor w:val="FFFFFF" w:themeColor="background1"/>
                <w:sz w:val="24"/>
                <w:szCs w:val="24"/>
              </w:rPr>
              <w:t>FUNDING &amp; DURATION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AE5C" w14:textId="77777777" w:rsidR="00F33436" w:rsidRPr="00216504" w:rsidRDefault="00F33436" w:rsidP="00B36EFC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olor w:val="FFFFFF" w:themeColor="background1"/>
                <w:sz w:val="24"/>
                <w:szCs w:val="24"/>
              </w:rPr>
              <w:t>DEADLINE</w:t>
            </w:r>
          </w:p>
        </w:tc>
      </w:tr>
      <w:tr w:rsidR="00897F92" w:rsidRPr="00216504" w14:paraId="67A7F78A" w14:textId="77777777" w:rsidTr="00B36EFC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F331" w14:textId="105AF38C" w:rsidR="00897F92" w:rsidRDefault="00897F92">
            <w:pPr>
              <w:pStyle w:val="NoSpacing"/>
              <w:spacing w:line="252" w:lineRule="auto"/>
            </w:pPr>
            <w:hyperlink r:id="rId10" w:history="1">
              <w:r w:rsidRPr="00897F92">
                <w:rPr>
                  <w:rStyle w:val="Hyperlink"/>
                  <w:color w:val="auto"/>
                </w:rPr>
                <w:t xml:space="preserve">EPSRC </w:t>
              </w:r>
              <w:r w:rsidRPr="00897F92">
                <w:rPr>
                  <w:rStyle w:val="Hyperlink"/>
                  <w:color w:val="FF0000"/>
                </w:rPr>
                <w:t xml:space="preserve">Pre-announcement: </w:t>
              </w:r>
              <w:r w:rsidRPr="00897F92">
                <w:rPr>
                  <w:rStyle w:val="Hyperlink"/>
                  <w:color w:val="auto"/>
                </w:rPr>
                <w:t>Engineering Healthier Environments: Micro Network and Micro Network Plus</w:t>
              </w:r>
            </w:hyperlink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6143" w14:textId="0D97A6CF" w:rsidR="00897F92" w:rsidRPr="008B49C5" w:rsidRDefault="00897F92">
            <w:pPr>
              <w:spacing w:line="252" w:lineRule="auto"/>
              <w:rPr>
                <w:sz w:val="24"/>
                <w:szCs w:val="24"/>
                <w:shd w:val="clear" w:color="auto" w:fill="FFFFFF"/>
              </w:rPr>
            </w:pPr>
            <w:r w:rsidRPr="00897F92">
              <w:rPr>
                <w:sz w:val="24"/>
                <w:szCs w:val="24"/>
                <w:shd w:val="clear" w:color="auto" w:fill="FFFFFF"/>
              </w:rPr>
              <w:t>Apply for funding to develop an interdisciplinary Micro Network or Micro Network Plus focussed on developing new and existing collaborations within the topic of engineering healthier environments.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3556B" w14:textId="77777777" w:rsidR="00897F92" w:rsidRDefault="00897F9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409A5E4A" w14:textId="77777777" w:rsidR="00897F92" w:rsidRDefault="00897F92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£600k</w:t>
            </w:r>
          </w:p>
          <w:p w14:paraId="54287C76" w14:textId="77777777" w:rsidR="00897F92" w:rsidRDefault="00897F9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693E2599" w14:textId="1BA27184" w:rsidR="00897F92" w:rsidRDefault="00897F92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months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868C" w14:textId="77777777" w:rsidR="00897F92" w:rsidRDefault="00897F92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2D09E2D7" w14:textId="77777777" w:rsidR="00897F92" w:rsidRDefault="00897F92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6E659A9B" w14:textId="77777777" w:rsidR="00897F92" w:rsidRDefault="00897F92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10354BC1" w14:textId="4D0216A7" w:rsidR="00897F92" w:rsidRDefault="00897F92" w:rsidP="00897F92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A16299" w:rsidRPr="00216504" w14:paraId="1BE22BCC" w14:textId="77777777" w:rsidTr="00B36EFC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3F8C" w14:textId="41388998" w:rsidR="00A16299" w:rsidRPr="00897F92" w:rsidRDefault="00A16299">
            <w:pPr>
              <w:pStyle w:val="NoSpacing"/>
              <w:spacing w:line="252" w:lineRule="auto"/>
            </w:pPr>
            <w:hyperlink r:id="rId11" w:history="1">
              <w:r w:rsidRPr="00A16299">
                <w:rPr>
                  <w:rStyle w:val="Hyperlink"/>
                  <w:color w:val="auto"/>
                </w:rPr>
                <w:t xml:space="preserve">UKRI – </w:t>
              </w:r>
              <w:r w:rsidRPr="00A16299">
                <w:rPr>
                  <w:rStyle w:val="Hyperlink"/>
                  <w:b/>
                  <w:bCs/>
                  <w:color w:val="FF0000"/>
                </w:rPr>
                <w:t xml:space="preserve">Pre-Announcement: </w:t>
              </w:r>
              <w:r w:rsidRPr="00A16299">
                <w:rPr>
                  <w:rStyle w:val="Hyperlink"/>
                  <w:color w:val="auto"/>
                </w:rPr>
                <w:t>UK Future Internet Network Plus</w:t>
              </w:r>
            </w:hyperlink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CFF9" w14:textId="2C9E67D7" w:rsidR="00A16299" w:rsidRPr="00897F92" w:rsidRDefault="00A16299">
            <w:pPr>
              <w:spacing w:line="252" w:lineRule="auto"/>
              <w:rPr>
                <w:sz w:val="24"/>
                <w:szCs w:val="24"/>
                <w:shd w:val="clear" w:color="auto" w:fill="FFFFFF"/>
              </w:rPr>
            </w:pPr>
            <w:r w:rsidRPr="00A16299">
              <w:rPr>
                <w:sz w:val="24"/>
                <w:szCs w:val="24"/>
                <w:shd w:val="clear" w:color="auto" w:fill="FFFFFF"/>
              </w:rPr>
              <w:t xml:space="preserve">Apply for funding for a UK future internet </w:t>
            </w:r>
            <w:proofErr w:type="spellStart"/>
            <w:r w:rsidRPr="00A16299">
              <w:rPr>
                <w:sz w:val="24"/>
                <w:szCs w:val="24"/>
                <w:shd w:val="clear" w:color="auto" w:fill="FFFFFF"/>
              </w:rPr>
              <w:t>NetworkPlus</w:t>
            </w:r>
            <w:proofErr w:type="spellEnd"/>
            <w:r w:rsidRPr="00A16299">
              <w:rPr>
                <w:sz w:val="24"/>
                <w:szCs w:val="24"/>
                <w:shd w:val="clear" w:color="auto" w:fill="FFFFFF"/>
              </w:rPr>
              <w:t xml:space="preserve"> which brings together the research community, </w:t>
            </w:r>
            <w:proofErr w:type="gramStart"/>
            <w:r w:rsidRPr="00A16299">
              <w:rPr>
                <w:sz w:val="24"/>
                <w:szCs w:val="24"/>
                <w:shd w:val="clear" w:color="auto" w:fill="FFFFFF"/>
              </w:rPr>
              <w:t>policymakers</w:t>
            </w:r>
            <w:proofErr w:type="gramEnd"/>
            <w:r w:rsidRPr="00A16299">
              <w:rPr>
                <w:sz w:val="24"/>
                <w:szCs w:val="24"/>
                <w:shd w:val="clear" w:color="auto" w:fill="FFFFFF"/>
              </w:rPr>
              <w:t xml:space="preserve"> and wider stakeholders to make the UK an active leader in the development of the internet and an intelligent customer of internet technologies in the 2030s and 2040s.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A16299">
                <w:rPr>
                  <w:rStyle w:val="Hyperlink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Webinar 9 July at 13:30</w:t>
              </w:r>
            </w:hyperlink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785B85" w14:textId="77777777" w:rsidR="00A16299" w:rsidRDefault="00A1629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7222EB62" w14:textId="77777777" w:rsidR="00A16299" w:rsidRDefault="00A1629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4589B060" w14:textId="0B036709" w:rsidR="00A16299" w:rsidRDefault="00DC1EB2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£5.2m</w:t>
            </w:r>
          </w:p>
          <w:p w14:paraId="488FA888" w14:textId="77777777" w:rsidR="00A16299" w:rsidRDefault="00A1629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6A4E75CC" w14:textId="40AD046D" w:rsidR="00A16299" w:rsidRDefault="00A1629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3yrs 9 months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0994" w14:textId="77777777" w:rsidR="00A16299" w:rsidRDefault="00A16299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43700D75" w14:textId="77777777" w:rsidR="00DC1EB2" w:rsidRDefault="00DC1EB2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56BBB6B8" w14:textId="77777777" w:rsidR="00DC1EB2" w:rsidRDefault="00DC1EB2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5F09F3FD" w14:textId="0B747F47" w:rsidR="00DC1EB2" w:rsidRDefault="00DC1EB2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8B49C5" w:rsidRPr="00216504" w14:paraId="4A33E951" w14:textId="77777777" w:rsidTr="00B36EFC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FF86" w14:textId="16B2C420" w:rsidR="008B49C5" w:rsidRDefault="008B49C5">
            <w:pPr>
              <w:pStyle w:val="NoSpacing"/>
              <w:spacing w:line="252" w:lineRule="auto"/>
            </w:pPr>
            <w:hyperlink r:id="rId13" w:history="1">
              <w:r w:rsidRPr="00897F92">
                <w:rPr>
                  <w:rStyle w:val="Hyperlink"/>
                  <w:color w:val="auto"/>
                </w:rPr>
                <w:t xml:space="preserve">EPSRC </w:t>
              </w:r>
              <w:r w:rsidRPr="00897F92">
                <w:rPr>
                  <w:rStyle w:val="Hyperlink"/>
                  <w:b/>
                  <w:bCs/>
                  <w:color w:val="auto"/>
                </w:rPr>
                <w:t xml:space="preserve">Pre-announcement: </w:t>
              </w:r>
              <w:r w:rsidRPr="00897F92">
                <w:rPr>
                  <w:rStyle w:val="Hyperlink"/>
                  <w:color w:val="auto"/>
                </w:rPr>
                <w:t>Core research challenges in digital twinning for cris</w:t>
              </w:r>
              <w:r w:rsidRPr="00897F92">
                <w:rPr>
                  <w:rStyle w:val="Hyperlink"/>
                  <w:color w:val="auto"/>
                </w:rPr>
                <w:t>i</w:t>
              </w:r>
              <w:r w:rsidRPr="00897F92">
                <w:rPr>
                  <w:rStyle w:val="Hyperlink"/>
                  <w:color w:val="auto"/>
                </w:rPr>
                <w:t xml:space="preserve">s </w:t>
              </w:r>
              <w:r w:rsidRPr="008B49C5">
                <w:rPr>
                  <w:rStyle w:val="Hyperlink"/>
                  <w:color w:val="auto"/>
                </w:rPr>
                <w:t>resilience</w:t>
              </w:r>
            </w:hyperlink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7F15" w14:textId="32992343" w:rsidR="008B49C5" w:rsidRPr="0034006B" w:rsidRDefault="008B49C5">
            <w:pPr>
              <w:spacing w:line="252" w:lineRule="auto"/>
              <w:rPr>
                <w:sz w:val="24"/>
                <w:szCs w:val="24"/>
                <w:shd w:val="clear" w:color="auto" w:fill="FFFFFF"/>
              </w:rPr>
            </w:pPr>
            <w:r w:rsidRPr="008B49C5">
              <w:rPr>
                <w:sz w:val="24"/>
                <w:szCs w:val="24"/>
                <w:shd w:val="clear" w:color="auto" w:fill="FFFFFF"/>
              </w:rPr>
              <w:t>This funding opportunity is led by EPSRC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49C5">
              <w:rPr>
                <w:sz w:val="24"/>
                <w:szCs w:val="24"/>
                <w:shd w:val="clear" w:color="auto" w:fill="FFFFFF"/>
              </w:rPr>
              <w:t>jointly with UKRI</w:t>
            </w:r>
            <w:r>
              <w:rPr>
                <w:sz w:val="24"/>
                <w:szCs w:val="24"/>
                <w:shd w:val="clear" w:color="auto" w:fill="FFFFFF"/>
              </w:rPr>
              <w:t xml:space="preserve">’s </w:t>
            </w:r>
            <w:r w:rsidRPr="008B49C5">
              <w:rPr>
                <w:sz w:val="24"/>
                <w:szCs w:val="24"/>
                <w:shd w:val="clear" w:color="auto" w:fill="FFFFFF"/>
              </w:rPr>
              <w:t xml:space="preserve">building a secure and resilient world strategic theme, as part of our contribution to developing the national capability in digital twinning, focusing on addressing challenges related to national security and resilience.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FFB484" w14:textId="77777777" w:rsidR="008B49C5" w:rsidRDefault="008B49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169FCCB8" w14:textId="77777777" w:rsidR="008B49C5" w:rsidRDefault="008B49C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£3.5m</w:t>
            </w:r>
          </w:p>
          <w:p w14:paraId="63ECB890" w14:textId="77777777" w:rsidR="00897F92" w:rsidRDefault="00897F9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63D24CCD" w14:textId="2336F280" w:rsidR="00897F92" w:rsidRDefault="00897F92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6FC5" w14:textId="77777777" w:rsidR="008B49C5" w:rsidRDefault="008B49C5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15D93E33" w14:textId="1D2572C4" w:rsidR="008B49C5" w:rsidRDefault="008B49C5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TBC </w:t>
            </w:r>
          </w:p>
        </w:tc>
      </w:tr>
      <w:tr w:rsidR="0034006B" w:rsidRPr="00216504" w14:paraId="6E0BE320" w14:textId="77777777" w:rsidTr="00B36EFC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D6DC" w14:textId="56F948CB" w:rsidR="0034006B" w:rsidRPr="0034006B" w:rsidRDefault="00DC1EB2">
            <w:pPr>
              <w:pStyle w:val="NoSpacing"/>
              <w:spacing w:line="252" w:lineRule="auto"/>
              <w:rPr>
                <w:sz w:val="24"/>
                <w:szCs w:val="24"/>
              </w:rPr>
            </w:pPr>
            <w:hyperlink r:id="rId14" w:history="1">
              <w:r w:rsidR="0034006B" w:rsidRPr="0034006B">
                <w:rPr>
                  <w:rStyle w:val="Hyperlink"/>
                  <w:color w:val="auto"/>
                  <w:sz w:val="24"/>
                  <w:szCs w:val="24"/>
                </w:rPr>
                <w:t xml:space="preserve">NERC Pushing the Frontiers of </w:t>
              </w:r>
              <w:r w:rsidR="0034006B" w:rsidRPr="0034006B">
                <w:rPr>
                  <w:rStyle w:val="Hyperlink"/>
                  <w:color w:val="auto"/>
                  <w:sz w:val="24"/>
                  <w:szCs w:val="24"/>
                </w:rPr>
                <w:lastRenderedPageBreak/>
                <w:t>Environmental Research July 2024</w:t>
              </w:r>
            </w:hyperlink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7278" w14:textId="62C8DEDB" w:rsidR="0034006B" w:rsidRPr="007D4EAF" w:rsidRDefault="0034006B">
            <w:pPr>
              <w:spacing w:line="252" w:lineRule="auto"/>
              <w:rPr>
                <w:sz w:val="24"/>
                <w:szCs w:val="24"/>
                <w:shd w:val="clear" w:color="auto" w:fill="FFFFFF"/>
              </w:rPr>
            </w:pPr>
            <w:r w:rsidRPr="0034006B">
              <w:rPr>
                <w:sz w:val="24"/>
                <w:szCs w:val="24"/>
                <w:shd w:val="clear" w:color="auto" w:fill="FFFFFF"/>
              </w:rPr>
              <w:lastRenderedPageBreak/>
              <w:t xml:space="preserve">This funding opportunity supports researchers’ curiosity and imagination to </w:t>
            </w:r>
            <w:r w:rsidRPr="0034006B">
              <w:rPr>
                <w:sz w:val="24"/>
                <w:szCs w:val="24"/>
                <w:shd w:val="clear" w:color="auto" w:fill="FFFFFF"/>
              </w:rPr>
              <w:lastRenderedPageBreak/>
              <w:t>enable discoveries that unlock new knowledge with a degree of adventure previously unrealised.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65FC49" w14:textId="77777777" w:rsidR="0034006B" w:rsidRDefault="003400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£950</w:t>
            </w:r>
            <w:proofErr w:type="gramStart"/>
            <w:r>
              <w:rPr>
                <w:sz w:val="24"/>
                <w:szCs w:val="24"/>
              </w:rPr>
              <w:t>k(</w:t>
            </w:r>
            <w:proofErr w:type="gramEnd"/>
            <w:r>
              <w:rPr>
                <w:sz w:val="24"/>
                <w:szCs w:val="24"/>
              </w:rPr>
              <w:t xml:space="preserve">80% </w:t>
            </w:r>
            <w:proofErr w:type="spellStart"/>
            <w:r>
              <w:rPr>
                <w:sz w:val="24"/>
                <w:szCs w:val="24"/>
              </w:rPr>
              <w:t>fEC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D0D1014" w14:textId="22ECD7A2" w:rsidR="0034006B" w:rsidRPr="00216504" w:rsidRDefault="003400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Usually between 3-4years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A84F" w14:textId="77777777" w:rsidR="0034006B" w:rsidRDefault="0034006B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56C3DFB3" w14:textId="77777777" w:rsidR="006D728A" w:rsidRDefault="006D728A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592EA8BB" w14:textId="1C53D29F" w:rsidR="0034006B" w:rsidRPr="00216504" w:rsidRDefault="0034006B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 July </w:t>
            </w:r>
            <w:r w:rsidR="006D728A">
              <w:rPr>
                <w:sz w:val="24"/>
                <w:szCs w:val="24"/>
              </w:rPr>
              <w:t xml:space="preserve"> </w:t>
            </w:r>
          </w:p>
        </w:tc>
      </w:tr>
      <w:tr w:rsidR="00422269" w:rsidRPr="00216504" w14:paraId="20666497" w14:textId="77777777" w:rsidTr="00B36EFC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BA66" w14:textId="77777777" w:rsidR="006D728A" w:rsidRDefault="006D728A">
            <w:pPr>
              <w:pStyle w:val="NoSpacing"/>
              <w:spacing w:line="252" w:lineRule="auto"/>
            </w:pPr>
          </w:p>
          <w:p w14:paraId="69216CBA" w14:textId="24424E9E" w:rsidR="00422269" w:rsidRDefault="00DC1EB2">
            <w:pPr>
              <w:pStyle w:val="NoSpacing"/>
              <w:spacing w:line="252" w:lineRule="auto"/>
            </w:pPr>
            <w:hyperlink r:id="rId15" w:history="1">
              <w:r w:rsidR="006D728A">
                <w:rPr>
                  <w:rStyle w:val="Hyperlink"/>
                  <w:color w:val="auto"/>
                </w:rPr>
                <w:t>The UK-Brazil global talent exchange funding opportunity pilot</w:t>
              </w:r>
            </w:hyperlink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0957" w14:textId="09C89968" w:rsidR="00422269" w:rsidRPr="0034006B" w:rsidRDefault="00422269">
            <w:pPr>
              <w:spacing w:line="252" w:lineRule="auto"/>
              <w:rPr>
                <w:sz w:val="24"/>
                <w:szCs w:val="24"/>
                <w:shd w:val="clear" w:color="auto" w:fill="FFFFFF"/>
              </w:rPr>
            </w:pPr>
            <w:r w:rsidRPr="00422269">
              <w:rPr>
                <w:sz w:val="24"/>
                <w:szCs w:val="24"/>
                <w:shd w:val="clear" w:color="auto" w:fill="FFFFFF"/>
              </w:rPr>
              <w:t>The funding is to provide opportunities for early career researchers from both countries and a wide spectrum of disciplines and backgrounds to develop new collaborations which will benefit their future professional development.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8C811F" w14:textId="77777777" w:rsidR="006D728A" w:rsidRDefault="006D728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6FC3D73F" w14:textId="74107CB1" w:rsidR="00422269" w:rsidRDefault="0042226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£20k </w:t>
            </w:r>
            <w:proofErr w:type="spellStart"/>
            <w:r>
              <w:rPr>
                <w:sz w:val="24"/>
                <w:szCs w:val="24"/>
              </w:rPr>
              <w:t>fEC</w:t>
            </w:r>
            <w:proofErr w:type="spellEnd"/>
          </w:p>
          <w:p w14:paraId="0606457C" w14:textId="77777777" w:rsidR="00422269" w:rsidRDefault="0042226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53542C6A" w14:textId="777EE680" w:rsidR="00422269" w:rsidRDefault="0042226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Duration: 3-6 months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969E" w14:textId="77777777" w:rsidR="00422269" w:rsidRDefault="00422269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77A6B3AA" w14:textId="77777777" w:rsidR="006D728A" w:rsidRDefault="006D728A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74ABC8CF" w14:textId="3369A9E0" w:rsidR="00422269" w:rsidRDefault="00422269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August </w:t>
            </w:r>
            <w:r w:rsidR="006D728A">
              <w:rPr>
                <w:sz w:val="24"/>
                <w:szCs w:val="24"/>
              </w:rPr>
              <w:t xml:space="preserve"> </w:t>
            </w:r>
          </w:p>
          <w:p w14:paraId="5F38C83B" w14:textId="071564FD" w:rsidR="00422269" w:rsidRDefault="00422269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33436" w:rsidRPr="00216504" w14:paraId="367E556A" w14:textId="77777777" w:rsidTr="00B36EFC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69BB" w14:textId="5D6016F8" w:rsidR="00F33436" w:rsidRPr="00216504" w:rsidRDefault="00DC1EB2">
            <w:pPr>
              <w:pStyle w:val="NoSpacing"/>
              <w:spacing w:line="252" w:lineRule="auto"/>
              <w:rPr>
                <w:color w:val="002060"/>
                <w:sz w:val="24"/>
                <w:szCs w:val="24"/>
              </w:rPr>
            </w:pPr>
            <w:hyperlink r:id="rId16" w:history="1">
              <w:r w:rsidR="007D4EAF" w:rsidRPr="006D728A">
                <w:rPr>
                  <w:rStyle w:val="Hyperlink"/>
                  <w:color w:val="auto"/>
                  <w:sz w:val="24"/>
                  <w:szCs w:val="24"/>
                </w:rPr>
                <w:t>BBSRC New Investigator Award: 2024 Round 3 Responsive Mode</w:t>
              </w:r>
            </w:hyperlink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F39C" w14:textId="77777777" w:rsidR="006D728A" w:rsidRDefault="006D728A">
            <w:pPr>
              <w:spacing w:line="252" w:lineRule="auto"/>
              <w:rPr>
                <w:color w:val="505050"/>
                <w:sz w:val="24"/>
                <w:szCs w:val="24"/>
                <w:shd w:val="clear" w:color="auto" w:fill="FFFFFF"/>
              </w:rPr>
            </w:pPr>
          </w:p>
          <w:p w14:paraId="3CC61076" w14:textId="7BD19AF7" w:rsidR="006A57F3" w:rsidRPr="00216504" w:rsidRDefault="007D4EAF">
            <w:pPr>
              <w:spacing w:line="252" w:lineRule="auto"/>
              <w:rPr>
                <w:color w:val="505050"/>
                <w:sz w:val="24"/>
                <w:szCs w:val="24"/>
                <w:shd w:val="clear" w:color="auto" w:fill="FFFFFF"/>
              </w:rPr>
            </w:pPr>
            <w:r w:rsidRPr="007D4EAF">
              <w:rPr>
                <w:color w:val="505050"/>
                <w:sz w:val="24"/>
                <w:szCs w:val="24"/>
                <w:shd w:val="clear" w:color="auto" w:fill="FFFFFF"/>
              </w:rPr>
              <w:t>Apply for funding for a research grant in any area within the remit of Biotechnology and Biological Sciences Research Council (BBSRC).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3345EA" w14:textId="77777777" w:rsidR="006D728A" w:rsidRDefault="006D728A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0095E887" w14:textId="44B88781" w:rsidR="006A57F3" w:rsidRPr="00216504" w:rsidRDefault="006A57F3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£</w:t>
            </w:r>
            <w:r w:rsidR="007D4EAF">
              <w:rPr>
                <w:sz w:val="24"/>
                <w:szCs w:val="24"/>
              </w:rPr>
              <w:t>2m</w:t>
            </w:r>
          </w:p>
          <w:p w14:paraId="00EAD8EC" w14:textId="77777777" w:rsidR="007D4EAF" w:rsidRPr="00216504" w:rsidRDefault="007D4EAF" w:rsidP="007D4EA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 xml:space="preserve">(80% </w:t>
            </w:r>
            <w:proofErr w:type="spellStart"/>
            <w:r w:rsidRPr="00216504">
              <w:rPr>
                <w:sz w:val="24"/>
                <w:szCs w:val="24"/>
              </w:rPr>
              <w:t>fEC</w:t>
            </w:r>
            <w:proofErr w:type="spellEnd"/>
            <w:r w:rsidRPr="00216504">
              <w:rPr>
                <w:sz w:val="24"/>
                <w:szCs w:val="24"/>
              </w:rPr>
              <w:t>)</w:t>
            </w:r>
          </w:p>
          <w:p w14:paraId="120633D3" w14:textId="77777777" w:rsidR="006A57F3" w:rsidRPr="00216504" w:rsidRDefault="006A57F3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7378E319" w14:textId="011ECA9B" w:rsidR="006A57F3" w:rsidRPr="00216504" w:rsidRDefault="006B1A4B" w:rsidP="006A57F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D</w:t>
            </w:r>
            <w:r w:rsidR="006A57F3" w:rsidRPr="00216504">
              <w:rPr>
                <w:sz w:val="24"/>
                <w:szCs w:val="24"/>
              </w:rPr>
              <w:t xml:space="preserve">uration: </w:t>
            </w:r>
            <w:r w:rsidR="007D4EAF">
              <w:rPr>
                <w:sz w:val="24"/>
                <w:szCs w:val="24"/>
              </w:rPr>
              <w:t>Up to 5 years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2B75" w14:textId="77777777" w:rsidR="006D728A" w:rsidRDefault="006D728A" w:rsidP="00B36EFC">
            <w:pPr>
              <w:pStyle w:val="NoSpacing"/>
              <w:spacing w:line="252" w:lineRule="auto"/>
              <w:jc w:val="center"/>
              <w:rPr>
                <w:sz w:val="24"/>
                <w:szCs w:val="24"/>
              </w:rPr>
            </w:pPr>
          </w:p>
          <w:p w14:paraId="4290579F" w14:textId="3CC40ACA" w:rsidR="006A57F3" w:rsidRPr="00216504" w:rsidRDefault="007D4EAF" w:rsidP="00B36EFC">
            <w:pPr>
              <w:pStyle w:val="NoSpacing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Sept</w:t>
            </w:r>
            <w:r w:rsidR="0034006B">
              <w:rPr>
                <w:sz w:val="24"/>
                <w:szCs w:val="24"/>
              </w:rPr>
              <w:t>ember</w:t>
            </w:r>
            <w:r w:rsidR="006D728A">
              <w:rPr>
                <w:sz w:val="24"/>
                <w:szCs w:val="24"/>
              </w:rPr>
              <w:t xml:space="preserve"> </w:t>
            </w:r>
          </w:p>
        </w:tc>
      </w:tr>
      <w:tr w:rsidR="00F33436" w:rsidRPr="00216504" w14:paraId="6A4FDCB4" w14:textId="77777777" w:rsidTr="00B36EFC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86F6" w14:textId="44088CF8" w:rsidR="00F33436" w:rsidRPr="007D4EAF" w:rsidRDefault="00DC1EB2" w:rsidP="008C1A1D">
            <w:pPr>
              <w:pStyle w:val="NoSpacing"/>
              <w:spacing w:line="252" w:lineRule="auto"/>
              <w:rPr>
                <w:sz w:val="24"/>
                <w:szCs w:val="24"/>
              </w:rPr>
            </w:pPr>
            <w:hyperlink r:id="rId17" w:history="1">
              <w:r w:rsidR="007D4EAF" w:rsidRPr="007D4EAF">
                <w:rPr>
                  <w:rStyle w:val="Hyperlink"/>
                  <w:color w:val="auto"/>
                  <w:sz w:val="24"/>
                  <w:szCs w:val="24"/>
                </w:rPr>
                <w:t>BBSRC Standard Research Grant 2024 Round 3 Responsive Mode</w:t>
              </w:r>
            </w:hyperlink>
          </w:p>
          <w:p w14:paraId="3083FB18" w14:textId="611CCAEC" w:rsidR="007D4EAF" w:rsidRPr="00216504" w:rsidRDefault="007D4EAF" w:rsidP="008C1A1D">
            <w:pPr>
              <w:pStyle w:val="NoSpacing"/>
              <w:spacing w:line="25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8948" w14:textId="7C8DDE9B" w:rsidR="00F33436" w:rsidRPr="00216504" w:rsidRDefault="007D4EAF">
            <w:pPr>
              <w:spacing w:line="252" w:lineRule="auto"/>
              <w:rPr>
                <w:sz w:val="24"/>
                <w:szCs w:val="24"/>
              </w:rPr>
            </w:pPr>
            <w:r w:rsidRPr="007D4EAF">
              <w:rPr>
                <w:color w:val="505050"/>
                <w:sz w:val="24"/>
                <w:szCs w:val="24"/>
                <w:shd w:val="clear" w:color="auto" w:fill="FFFFFF"/>
              </w:rPr>
              <w:t>Apply for funding for a research grant in any area within the remit of Biotechnology and Biological Sciences Research Council (BBSRC).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2478C8" w14:textId="77777777" w:rsidR="007D4EAF" w:rsidRPr="00216504" w:rsidRDefault="007D4EAF" w:rsidP="007D4EA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2m</w:t>
            </w:r>
          </w:p>
          <w:p w14:paraId="733A7AC0" w14:textId="77777777" w:rsidR="007D4EAF" w:rsidRPr="00216504" w:rsidRDefault="007D4EAF" w:rsidP="007D4EA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 xml:space="preserve">(80% </w:t>
            </w:r>
            <w:proofErr w:type="spellStart"/>
            <w:r w:rsidRPr="00216504">
              <w:rPr>
                <w:sz w:val="24"/>
                <w:szCs w:val="24"/>
              </w:rPr>
              <w:t>fEC</w:t>
            </w:r>
            <w:proofErr w:type="spellEnd"/>
            <w:r w:rsidRPr="00216504">
              <w:rPr>
                <w:sz w:val="24"/>
                <w:szCs w:val="24"/>
              </w:rPr>
              <w:t>)</w:t>
            </w:r>
          </w:p>
          <w:p w14:paraId="25841FBF" w14:textId="77777777" w:rsidR="007D4EAF" w:rsidRPr="00216504" w:rsidRDefault="007D4EAF" w:rsidP="007D4EAF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2A889A3B" w14:textId="2BFCF8B2" w:rsidR="008C1A1D" w:rsidRPr="00216504" w:rsidRDefault="008C1A1D" w:rsidP="008C1A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Duration:</w:t>
            </w:r>
            <w:r w:rsidR="007D4EAF">
              <w:rPr>
                <w:sz w:val="24"/>
                <w:szCs w:val="24"/>
              </w:rPr>
              <w:t xml:space="preserve"> Up to </w:t>
            </w:r>
            <w:r w:rsidRPr="00216504">
              <w:rPr>
                <w:sz w:val="24"/>
                <w:szCs w:val="24"/>
              </w:rPr>
              <w:t>5 y</w:t>
            </w:r>
            <w:r w:rsidR="007D4EAF">
              <w:rPr>
                <w:sz w:val="24"/>
                <w:szCs w:val="24"/>
              </w:rPr>
              <w:t>ea</w:t>
            </w:r>
            <w:r w:rsidRPr="00216504">
              <w:rPr>
                <w:sz w:val="24"/>
                <w:szCs w:val="24"/>
              </w:rPr>
              <w:t>rs</w:t>
            </w:r>
          </w:p>
          <w:p w14:paraId="400399B2" w14:textId="401C7B74" w:rsidR="00BB41C2" w:rsidRPr="00216504" w:rsidRDefault="008C1A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0935" w14:textId="77777777" w:rsidR="00F33436" w:rsidRDefault="00F3343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652C29E3" w14:textId="48904EE7" w:rsidR="00C75256" w:rsidRPr="00216504" w:rsidRDefault="009A755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September</w:t>
            </w:r>
            <w:r w:rsidR="00675917">
              <w:rPr>
                <w:sz w:val="24"/>
                <w:szCs w:val="24"/>
              </w:rPr>
              <w:t xml:space="preserve"> </w:t>
            </w:r>
            <w:r w:rsidR="006D728A">
              <w:rPr>
                <w:sz w:val="24"/>
                <w:szCs w:val="24"/>
              </w:rPr>
              <w:t xml:space="preserve"> </w:t>
            </w:r>
          </w:p>
        </w:tc>
      </w:tr>
      <w:tr w:rsidR="00422269" w:rsidRPr="00216504" w14:paraId="3C386512" w14:textId="77777777" w:rsidTr="00B36EFC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0971" w14:textId="5A8C5D74" w:rsidR="00422269" w:rsidRDefault="00DC1EB2" w:rsidP="008C1A1D">
            <w:pPr>
              <w:pStyle w:val="NoSpacing"/>
              <w:spacing w:line="252" w:lineRule="auto"/>
            </w:pPr>
            <w:hyperlink r:id="rId18" w:history="1">
              <w:r w:rsidR="00422269" w:rsidRPr="00422269">
                <w:rPr>
                  <w:rStyle w:val="Hyperlink"/>
                  <w:color w:val="auto"/>
                </w:rPr>
                <w:t>UK-Canada sustainable critical minerals research partnerships</w:t>
              </w:r>
            </w:hyperlink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038D" w14:textId="274F6050" w:rsidR="00422269" w:rsidRPr="007D4EAF" w:rsidRDefault="00422269">
            <w:pPr>
              <w:spacing w:line="252" w:lineRule="auto"/>
              <w:rPr>
                <w:color w:val="505050"/>
                <w:sz w:val="24"/>
                <w:szCs w:val="24"/>
                <w:shd w:val="clear" w:color="auto" w:fill="FFFFFF"/>
              </w:rPr>
            </w:pPr>
            <w:r w:rsidRPr="00422269">
              <w:rPr>
                <w:color w:val="505050"/>
                <w:sz w:val="24"/>
                <w:szCs w:val="24"/>
                <w:shd w:val="clear" w:color="auto" w:fill="FFFFFF"/>
              </w:rPr>
              <w:t>Apply for funding to collaborate with a Canadian Alliance Missions critical minerals research project to develop partnerships to address key critical minerals research priorities around optimising efficiency and minimising environmental impact across critical minerals value chains.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5EEDE" w14:textId="77777777" w:rsidR="00422269" w:rsidRDefault="00422269" w:rsidP="007D4EAF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5AB93F33" w14:textId="77777777" w:rsidR="00422269" w:rsidRDefault="00422269" w:rsidP="007D4E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£240k (80%fEC will be funded)</w:t>
            </w:r>
          </w:p>
          <w:p w14:paraId="7F218331" w14:textId="77777777" w:rsidR="00422269" w:rsidRDefault="00422269" w:rsidP="007D4EAF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33BD0759" w14:textId="2339D73F" w:rsidR="00422269" w:rsidRPr="00216504" w:rsidRDefault="00422269" w:rsidP="007D4EAF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Duration: 2 years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211B" w14:textId="77777777" w:rsidR="00422269" w:rsidRDefault="0042226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75CFB3FA" w14:textId="16CA197A" w:rsidR="00422269" w:rsidRDefault="0042226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October </w:t>
            </w:r>
            <w:r w:rsidR="006D728A">
              <w:rPr>
                <w:sz w:val="24"/>
                <w:szCs w:val="24"/>
              </w:rPr>
              <w:t xml:space="preserve"> </w:t>
            </w:r>
          </w:p>
        </w:tc>
      </w:tr>
      <w:tr w:rsidR="00F33436" w:rsidRPr="00216504" w14:paraId="3DCE91F1" w14:textId="77777777" w:rsidTr="00B36EFC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811E" w14:textId="77777777" w:rsidR="00B36EFC" w:rsidRPr="00216504" w:rsidRDefault="00B36EFC">
            <w:pPr>
              <w:pStyle w:val="NoSpacing"/>
              <w:spacing w:line="252" w:lineRule="auto"/>
              <w:rPr>
                <w:color w:val="000000" w:themeColor="text1"/>
                <w:sz w:val="24"/>
                <w:szCs w:val="24"/>
              </w:rPr>
            </w:pPr>
          </w:p>
          <w:p w14:paraId="6C3C1A11" w14:textId="6097D77E" w:rsidR="009A7559" w:rsidRPr="006D728A" w:rsidRDefault="006D728A" w:rsidP="009A7559">
            <w:pPr>
              <w:pStyle w:val="NoSpacing"/>
              <w:spacing w:line="252" w:lineRule="auto"/>
              <w:rPr>
                <w:rStyle w:val="Hyperlink"/>
                <w:color w:val="auto"/>
                <w:sz w:val="24"/>
                <w:szCs w:val="24"/>
              </w:rPr>
            </w:pPr>
            <w:r w:rsidRPr="006D728A">
              <w:rPr>
                <w:sz w:val="24"/>
                <w:szCs w:val="24"/>
              </w:rPr>
              <w:fldChar w:fldCharType="begin"/>
            </w:r>
            <w:r w:rsidRPr="006D728A">
              <w:rPr>
                <w:sz w:val="24"/>
                <w:szCs w:val="24"/>
              </w:rPr>
              <w:instrText>HYPERLINK "https://www.ukri.org/opportunity/sustainable-industrial-futures/"</w:instrText>
            </w:r>
            <w:r w:rsidRPr="006D728A">
              <w:rPr>
                <w:sz w:val="24"/>
                <w:szCs w:val="24"/>
              </w:rPr>
            </w:r>
            <w:r w:rsidRPr="006D728A">
              <w:rPr>
                <w:sz w:val="24"/>
                <w:szCs w:val="24"/>
              </w:rPr>
              <w:fldChar w:fldCharType="separate"/>
            </w:r>
            <w:r w:rsidR="009A7559" w:rsidRPr="006D728A">
              <w:rPr>
                <w:rStyle w:val="Hyperlink"/>
                <w:color w:val="auto"/>
                <w:sz w:val="24"/>
                <w:szCs w:val="24"/>
              </w:rPr>
              <w:t>EPSRC Pre-announcement: Sustainable Industrial Futures</w:t>
            </w:r>
          </w:p>
          <w:p w14:paraId="14D2CD2B" w14:textId="1CEDB2CF" w:rsidR="00F33436" w:rsidRPr="00216504" w:rsidRDefault="006D728A">
            <w:pPr>
              <w:pStyle w:val="NoSpacing"/>
              <w:spacing w:line="252" w:lineRule="auto"/>
              <w:rPr>
                <w:b/>
                <w:bCs/>
                <w:color w:val="C55A11"/>
                <w:sz w:val="24"/>
                <w:szCs w:val="24"/>
              </w:rPr>
            </w:pPr>
            <w:r w:rsidRPr="006D728A">
              <w:rPr>
                <w:sz w:val="24"/>
                <w:szCs w:val="24"/>
              </w:rPr>
              <w:fldChar w:fldCharType="end"/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8C4C" w14:textId="77777777" w:rsidR="006D728A" w:rsidRDefault="006D728A" w:rsidP="00326154">
            <w:pPr>
              <w:shd w:val="clear" w:color="auto" w:fill="FFFFFF"/>
              <w:spacing w:after="300"/>
              <w:rPr>
                <w:rFonts w:eastAsia="Times New Roman"/>
                <w:color w:val="505050"/>
                <w:sz w:val="24"/>
                <w:szCs w:val="24"/>
                <w:lang w:eastAsia="en-GB"/>
              </w:rPr>
            </w:pPr>
          </w:p>
          <w:p w14:paraId="7615B40C" w14:textId="7C2EECCE" w:rsidR="009A7559" w:rsidRPr="00216504" w:rsidRDefault="009A7559" w:rsidP="00326154">
            <w:pPr>
              <w:shd w:val="clear" w:color="auto" w:fill="FFFFFF"/>
              <w:spacing w:after="300"/>
              <w:rPr>
                <w:rFonts w:eastAsia="Times New Roman"/>
                <w:color w:val="505050"/>
                <w:sz w:val="24"/>
                <w:szCs w:val="24"/>
                <w:lang w:eastAsia="en-GB"/>
              </w:rPr>
            </w:pPr>
            <w:r w:rsidRPr="009A7559">
              <w:rPr>
                <w:rFonts w:eastAsia="Times New Roman"/>
                <w:color w:val="505050"/>
                <w:sz w:val="24"/>
                <w:szCs w:val="24"/>
                <w:lang w:eastAsia="en-GB"/>
              </w:rPr>
              <w:t>Apply for funding to establish a virtual centre of excellence in sustainable industrial futures to advance the UK’s transition to net zero.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31600" w14:textId="77777777" w:rsidR="006D728A" w:rsidRDefault="006D728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41BBC3F3" w14:textId="64B219C2" w:rsidR="00F33436" w:rsidRPr="00216504" w:rsidRDefault="0032615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£</w:t>
            </w:r>
            <w:r w:rsidR="009A7559">
              <w:rPr>
                <w:sz w:val="24"/>
                <w:szCs w:val="24"/>
              </w:rPr>
              <w:t>21</w:t>
            </w:r>
            <w:r w:rsidRPr="00216504">
              <w:rPr>
                <w:sz w:val="24"/>
                <w:szCs w:val="24"/>
              </w:rPr>
              <w:t>M</w:t>
            </w:r>
          </w:p>
          <w:p w14:paraId="6468EF13" w14:textId="77777777" w:rsidR="00326154" w:rsidRPr="00216504" w:rsidRDefault="00326154" w:rsidP="0032615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 xml:space="preserve">(80% </w:t>
            </w:r>
            <w:proofErr w:type="spellStart"/>
            <w:r w:rsidRPr="00216504">
              <w:rPr>
                <w:sz w:val="24"/>
                <w:szCs w:val="24"/>
              </w:rPr>
              <w:t>fEC</w:t>
            </w:r>
            <w:proofErr w:type="spellEnd"/>
            <w:r w:rsidRPr="00216504">
              <w:rPr>
                <w:sz w:val="24"/>
                <w:szCs w:val="24"/>
              </w:rPr>
              <w:t>)</w:t>
            </w:r>
          </w:p>
          <w:p w14:paraId="28A8897D" w14:textId="77777777" w:rsidR="00326154" w:rsidRPr="00216504" w:rsidRDefault="00326154" w:rsidP="0032615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4912855F" w14:textId="1A092937" w:rsidR="00326154" w:rsidRPr="00216504" w:rsidRDefault="00326154" w:rsidP="00B36EF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Duration:</w:t>
            </w:r>
            <w:r w:rsidR="009A7559">
              <w:rPr>
                <w:sz w:val="24"/>
                <w:szCs w:val="24"/>
              </w:rPr>
              <w:t xml:space="preserve"> Over</w:t>
            </w:r>
            <w:r w:rsidRPr="00216504">
              <w:rPr>
                <w:sz w:val="24"/>
                <w:szCs w:val="24"/>
              </w:rPr>
              <w:t xml:space="preserve"> </w:t>
            </w:r>
            <w:r w:rsidR="009A7559">
              <w:rPr>
                <w:sz w:val="24"/>
                <w:szCs w:val="24"/>
              </w:rPr>
              <w:t>7</w:t>
            </w:r>
            <w:r w:rsidRPr="00216504">
              <w:rPr>
                <w:sz w:val="24"/>
                <w:szCs w:val="24"/>
              </w:rPr>
              <w:t xml:space="preserve"> y</w:t>
            </w:r>
            <w:r w:rsidR="007D4EAF">
              <w:rPr>
                <w:sz w:val="24"/>
                <w:szCs w:val="24"/>
              </w:rPr>
              <w:t>ea</w:t>
            </w:r>
            <w:r w:rsidRPr="00216504">
              <w:rPr>
                <w:sz w:val="24"/>
                <w:szCs w:val="24"/>
              </w:rPr>
              <w:t>rs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624D" w14:textId="77777777" w:rsidR="006D728A" w:rsidRDefault="006D728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0F9D2121" w14:textId="77777777" w:rsidR="006D728A" w:rsidRDefault="006D728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EoI: </w:t>
            </w:r>
          </w:p>
          <w:p w14:paraId="048C668B" w14:textId="55D2B601" w:rsidR="006D728A" w:rsidRDefault="006D728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August</w:t>
            </w:r>
          </w:p>
          <w:p w14:paraId="43F16342" w14:textId="6FFA8AD6" w:rsidR="006D728A" w:rsidRDefault="006D728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Deadline:</w:t>
            </w:r>
          </w:p>
          <w:p w14:paraId="6693591D" w14:textId="525DA190" w:rsidR="009A7559" w:rsidRPr="00216504" w:rsidRDefault="009A755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728A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 xml:space="preserve">November </w:t>
            </w:r>
          </w:p>
        </w:tc>
      </w:tr>
    </w:tbl>
    <w:p w14:paraId="15FD7E1C" w14:textId="77777777" w:rsidR="00F33436" w:rsidRPr="00216504" w:rsidRDefault="00F33436" w:rsidP="00F33436">
      <w:pPr>
        <w:rPr>
          <w:sz w:val="24"/>
          <w:szCs w:val="24"/>
        </w:rPr>
      </w:pPr>
    </w:p>
    <w:p w14:paraId="34632E21" w14:textId="4C16D766" w:rsidR="00B06BB4" w:rsidRPr="00216504" w:rsidRDefault="00A16299" w:rsidP="00A16299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F33436" w:rsidRPr="00216504" w14:paraId="61D8887F" w14:textId="77777777" w:rsidTr="00F33436">
        <w:tc>
          <w:tcPr>
            <w:tcW w:w="10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2D6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C31A" w14:textId="77777777" w:rsidR="00F33436" w:rsidRPr="00216504" w:rsidRDefault="00F33436">
            <w:pPr>
              <w:spacing w:line="252" w:lineRule="auto"/>
              <w:rPr>
                <w:b/>
                <w:bCs/>
                <w:color w:val="000066"/>
                <w:sz w:val="24"/>
                <w:szCs w:val="24"/>
              </w:rPr>
            </w:pPr>
            <w:r w:rsidRPr="00216504">
              <w:rPr>
                <w:b/>
                <w:bCs/>
                <w:color w:val="FFFFFF"/>
                <w:sz w:val="24"/>
                <w:szCs w:val="24"/>
              </w:rPr>
              <w:t>UKRI EVENTS</w:t>
            </w:r>
          </w:p>
        </w:tc>
      </w:tr>
      <w:tr w:rsidR="00F33436" w:rsidRPr="00216504" w14:paraId="49AAB589" w14:textId="77777777" w:rsidTr="00CD1939">
        <w:trPr>
          <w:trHeight w:val="965"/>
        </w:trPr>
        <w:tc>
          <w:tcPr>
            <w:tcW w:w="10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57FD" w14:textId="77777777" w:rsidR="00F33436" w:rsidRPr="007D4EAF" w:rsidRDefault="00F33436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rPr>
                <w:sz w:val="24"/>
                <w:szCs w:val="24"/>
                <w:lang w:eastAsia="en-US"/>
              </w:rPr>
            </w:pPr>
            <w:r w:rsidRPr="00216504">
              <w:rPr>
                <w:color w:val="000000"/>
                <w:sz w:val="24"/>
                <w:szCs w:val="24"/>
                <w:lang w:eastAsia="en-US"/>
              </w:rPr>
              <w:t xml:space="preserve">Sign up to attend UKRI events. A full </w:t>
            </w:r>
            <w:r w:rsidRPr="00216504">
              <w:rPr>
                <w:sz w:val="24"/>
                <w:szCs w:val="24"/>
                <w:lang w:eastAsia="en-US"/>
              </w:rPr>
              <w:t xml:space="preserve">list is </w:t>
            </w:r>
            <w:r w:rsidRPr="007D4EAF">
              <w:rPr>
                <w:sz w:val="24"/>
                <w:szCs w:val="24"/>
                <w:lang w:eastAsia="en-US"/>
              </w:rPr>
              <w:t xml:space="preserve">published </w:t>
            </w:r>
            <w:hyperlink r:id="rId19" w:history="1">
              <w:r w:rsidRPr="007D4EAF">
                <w:rPr>
                  <w:rStyle w:val="Hyperlink"/>
                  <w:color w:val="auto"/>
                  <w:sz w:val="24"/>
                  <w:szCs w:val="24"/>
                  <w:lang w:eastAsia="en-US"/>
                </w:rPr>
                <w:t>here</w:t>
              </w:r>
            </w:hyperlink>
            <w:r w:rsidRPr="007D4EAF">
              <w:rPr>
                <w:sz w:val="24"/>
                <w:szCs w:val="24"/>
                <w:lang w:eastAsia="en-US"/>
              </w:rPr>
              <w:t xml:space="preserve"> including: </w:t>
            </w:r>
          </w:p>
          <w:p w14:paraId="576BA5EE" w14:textId="77777777" w:rsidR="000B3CE2" w:rsidRPr="007D4EAF" w:rsidRDefault="000B3CE2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rPr>
                <w:sz w:val="24"/>
                <w:szCs w:val="24"/>
              </w:rPr>
            </w:pPr>
          </w:p>
          <w:p w14:paraId="65199297" w14:textId="687E3732" w:rsidR="006D728A" w:rsidRDefault="006D728A" w:rsidP="006D728A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18-19 June </w:t>
            </w:r>
            <w:hyperlink r:id="rId20" w:history="1">
              <w:r w:rsidRPr="006D728A">
                <w:rPr>
                  <w:rStyle w:val="Hyperlink"/>
                  <w:color w:val="auto"/>
                  <w:sz w:val="24"/>
                  <w:szCs w:val="24"/>
                </w:rPr>
                <w:t>ARMA Conference 2024</w:t>
              </w:r>
            </w:hyperlink>
          </w:p>
          <w:p w14:paraId="4047B8F2" w14:textId="03E78D04" w:rsidR="00F33436" w:rsidRPr="006D728A" w:rsidRDefault="006D728A" w:rsidP="006D728A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rPr>
                <w:sz w:val="24"/>
                <w:szCs w:val="24"/>
              </w:rPr>
            </w:pPr>
            <w:r w:rsidRPr="006D728A">
              <w:rPr>
                <w:sz w:val="24"/>
                <w:szCs w:val="24"/>
              </w:rPr>
              <w:t xml:space="preserve">5 September </w:t>
            </w:r>
            <w:hyperlink r:id="rId21" w:history="1">
              <w:r w:rsidRPr="006D728A">
                <w:rPr>
                  <w:rStyle w:val="Hyperlink"/>
                  <w:color w:val="auto"/>
                  <w:sz w:val="24"/>
                  <w:szCs w:val="24"/>
                </w:rPr>
                <w:t>UKRI Cross Research Council Responsive Mode Scheme – Webinar One</w:t>
              </w:r>
            </w:hyperlink>
          </w:p>
          <w:p w14:paraId="1950BE8C" w14:textId="133218A1" w:rsidR="006D728A" w:rsidRPr="00216504" w:rsidRDefault="006D728A" w:rsidP="006D728A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rPr>
                <w:sz w:val="24"/>
                <w:szCs w:val="24"/>
              </w:rPr>
            </w:pPr>
            <w:r w:rsidRPr="006D728A">
              <w:rPr>
                <w:sz w:val="24"/>
                <w:szCs w:val="24"/>
              </w:rPr>
              <w:t xml:space="preserve">11 September </w:t>
            </w:r>
            <w:hyperlink r:id="rId22" w:history="1">
              <w:r w:rsidRPr="006D728A">
                <w:rPr>
                  <w:rStyle w:val="Hyperlink"/>
                  <w:color w:val="auto"/>
                  <w:sz w:val="24"/>
                  <w:szCs w:val="24"/>
                </w:rPr>
                <w:t>UKRI Cross Research Council Responsive Mode Scheme – Webinar Two</w:t>
              </w:r>
            </w:hyperlink>
          </w:p>
        </w:tc>
      </w:tr>
    </w:tbl>
    <w:p w14:paraId="529040A6" w14:textId="77777777" w:rsidR="00F33436" w:rsidRDefault="00F33436" w:rsidP="00F33436">
      <w:pPr>
        <w:rPr>
          <w:sz w:val="24"/>
          <w:szCs w:val="24"/>
        </w:rPr>
      </w:pPr>
    </w:p>
    <w:p w14:paraId="369B013B" w14:textId="77777777" w:rsidR="00A16299" w:rsidRDefault="00A16299" w:rsidP="00F33436">
      <w:pPr>
        <w:rPr>
          <w:sz w:val="24"/>
          <w:szCs w:val="24"/>
        </w:rPr>
      </w:pPr>
    </w:p>
    <w:p w14:paraId="37F1ADA3" w14:textId="77777777" w:rsidR="00A16299" w:rsidRDefault="00A16299" w:rsidP="00F33436">
      <w:pPr>
        <w:rPr>
          <w:sz w:val="24"/>
          <w:szCs w:val="24"/>
        </w:rPr>
      </w:pPr>
    </w:p>
    <w:p w14:paraId="6D108595" w14:textId="77777777" w:rsidR="00A16299" w:rsidRDefault="00A16299" w:rsidP="00F33436">
      <w:pPr>
        <w:rPr>
          <w:sz w:val="24"/>
          <w:szCs w:val="24"/>
        </w:rPr>
      </w:pPr>
    </w:p>
    <w:p w14:paraId="42CA540F" w14:textId="77777777" w:rsidR="00A16299" w:rsidRPr="00216504" w:rsidRDefault="00A16299" w:rsidP="00F33436">
      <w:pPr>
        <w:rPr>
          <w:sz w:val="24"/>
          <w:szCs w:val="24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984"/>
        <w:gridCol w:w="1701"/>
        <w:gridCol w:w="1311"/>
        <w:gridCol w:w="1009"/>
        <w:gridCol w:w="1047"/>
      </w:tblGrid>
      <w:tr w:rsidR="00F33436" w:rsidRPr="00216504" w14:paraId="2AB417C9" w14:textId="77777777" w:rsidTr="0036105B">
        <w:trPr>
          <w:gridBefore w:val="1"/>
          <w:wBefore w:w="20" w:type="dxa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2D6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F487" w14:textId="77777777" w:rsidR="00F33436" w:rsidRPr="00216504" w:rsidRDefault="00F33436">
            <w:pPr>
              <w:spacing w:line="252" w:lineRule="auto"/>
              <w:rPr>
                <w:b/>
                <w:bCs/>
                <w:caps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UKRI CROSS-COUNCIL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2D62"/>
            <w:hideMark/>
          </w:tcPr>
          <w:p w14:paraId="230D98D1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ap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EoI DeaDLINE (WHERE APPLIES)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2D62"/>
            <w:hideMark/>
          </w:tcPr>
          <w:p w14:paraId="5BAC3F20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ap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Deadline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2D62"/>
            <w:hideMark/>
          </w:tcPr>
          <w:p w14:paraId="79FE9E1D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ap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Term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2D62"/>
            <w:hideMark/>
          </w:tcPr>
          <w:p w14:paraId="3804C987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ap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Funding</w:t>
            </w:r>
          </w:p>
        </w:tc>
      </w:tr>
      <w:tr w:rsidR="009730BE" w:rsidRPr="00216504" w14:paraId="660D6190" w14:textId="77777777" w:rsidTr="0036105B">
        <w:trPr>
          <w:gridBefore w:val="1"/>
          <w:wBefore w:w="20" w:type="dxa"/>
          <w:trHeight w:val="673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B029" w14:textId="60DAB3A3" w:rsidR="009730BE" w:rsidRPr="009730BE" w:rsidRDefault="00DC1EB2" w:rsidP="00962D64">
            <w:pPr>
              <w:spacing w:line="252" w:lineRule="auto"/>
              <w:rPr>
                <w:color w:val="1F3864" w:themeColor="accent1" w:themeShade="80"/>
                <w:sz w:val="24"/>
                <w:szCs w:val="24"/>
              </w:rPr>
            </w:pPr>
            <w:hyperlink r:id="rId23" w:history="1">
              <w:r w:rsidR="009730BE" w:rsidRPr="009730BE">
                <w:rPr>
                  <w:rStyle w:val="Hyperlink"/>
                  <w:color w:val="auto"/>
                  <w:sz w:val="24"/>
                  <w:szCs w:val="24"/>
                </w:rPr>
                <w:t xml:space="preserve">UKRI Digital Research Technical Professional Skills </w:t>
              </w:r>
              <w:proofErr w:type="spellStart"/>
              <w:r w:rsidR="009730BE" w:rsidRPr="009730BE">
                <w:rPr>
                  <w:rStyle w:val="Hyperlink"/>
                  <w:color w:val="auto"/>
                  <w:sz w:val="24"/>
                  <w:szCs w:val="24"/>
                </w:rPr>
                <w:t>NetworkPlus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99C" w14:textId="77777777" w:rsidR="009730BE" w:rsidRPr="00216504" w:rsidRDefault="009730BE" w:rsidP="00962D6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66FA8" w14:textId="1BB2000D" w:rsidR="009730BE" w:rsidRPr="00216504" w:rsidRDefault="009730BE" w:rsidP="00962D6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Jun 24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8601" w14:textId="5B620D72" w:rsidR="009730BE" w:rsidRPr="00216504" w:rsidRDefault="009730BE" w:rsidP="00962D6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36105B">
              <w:rPr>
                <w:sz w:val="24"/>
                <w:szCs w:val="24"/>
              </w:rPr>
              <w:t>yrs.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A584" w14:textId="1E351603" w:rsidR="009730BE" w:rsidRPr="00216504" w:rsidRDefault="009730BE" w:rsidP="00962D6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£2M</w:t>
            </w:r>
          </w:p>
        </w:tc>
      </w:tr>
      <w:tr w:rsidR="00175E8A" w:rsidRPr="00216504" w14:paraId="5E5DDFE5" w14:textId="77777777" w:rsidTr="0036105B">
        <w:trPr>
          <w:gridBefore w:val="1"/>
          <w:wBefore w:w="20" w:type="dxa"/>
          <w:trHeight w:val="673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CED6" w14:textId="2FC4285E" w:rsidR="00175E8A" w:rsidRPr="00216504" w:rsidRDefault="00DC1EB2" w:rsidP="00962D64">
            <w:pPr>
              <w:spacing w:line="252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hyperlink r:id="rId24" w:history="1">
              <w:r w:rsidR="00175E8A" w:rsidRPr="00175E8A">
                <w:rPr>
                  <w:rStyle w:val="Hyperlink"/>
                  <w:color w:val="auto"/>
                  <w:sz w:val="24"/>
                  <w:szCs w:val="24"/>
                </w:rPr>
                <w:t>UKRI Metascience research grants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D9DC" w14:textId="77777777" w:rsidR="00175E8A" w:rsidRDefault="00175E8A" w:rsidP="00AE538E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A98E6" w14:textId="7A5A6B48" w:rsidR="00175E8A" w:rsidRPr="00216504" w:rsidRDefault="00175E8A" w:rsidP="00962D6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Jul 24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9070" w14:textId="5BAAB3A4" w:rsidR="00175E8A" w:rsidRPr="00216504" w:rsidRDefault="00175E8A" w:rsidP="00962D6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6-24 </w:t>
            </w:r>
            <w:proofErr w:type="spellStart"/>
            <w:r>
              <w:rPr>
                <w:sz w:val="24"/>
                <w:szCs w:val="24"/>
              </w:rPr>
              <w:t>mths</w:t>
            </w:r>
            <w:proofErr w:type="spellEnd"/>
            <w:r w:rsidR="0036105B">
              <w:rPr>
                <w:sz w:val="24"/>
                <w:szCs w:val="24"/>
              </w:rPr>
              <w:t>.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ED34" w14:textId="45534F80" w:rsidR="00175E8A" w:rsidRPr="00216504" w:rsidRDefault="00175E8A" w:rsidP="00962D6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£300k</w:t>
            </w:r>
          </w:p>
        </w:tc>
      </w:tr>
      <w:tr w:rsidR="0089091C" w:rsidRPr="00216504" w14:paraId="673662DD" w14:textId="77777777" w:rsidTr="0036105B">
        <w:trPr>
          <w:gridBefore w:val="1"/>
          <w:wBefore w:w="20" w:type="dxa"/>
          <w:trHeight w:val="673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6C57" w14:textId="17C80F1B" w:rsidR="0089091C" w:rsidRPr="0089091C" w:rsidRDefault="00DC1EB2" w:rsidP="00962D64">
            <w:pPr>
              <w:spacing w:line="252" w:lineRule="auto"/>
              <w:rPr>
                <w:color w:val="1F3864" w:themeColor="accent1" w:themeShade="80"/>
                <w:sz w:val="24"/>
                <w:szCs w:val="24"/>
              </w:rPr>
            </w:pPr>
            <w:hyperlink r:id="rId25" w:history="1">
              <w:r w:rsidR="0089091C" w:rsidRPr="0089091C">
                <w:rPr>
                  <w:rStyle w:val="Hyperlink"/>
                  <w:color w:val="auto"/>
                  <w:sz w:val="24"/>
                  <w:szCs w:val="24"/>
                </w:rPr>
                <w:t>Maximising UK adaptation to climate change research projects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1E3F" w14:textId="4ABB505D" w:rsidR="0089091C" w:rsidRDefault="0089091C" w:rsidP="00AE538E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82C28" w14:textId="404F80B1" w:rsidR="0089091C" w:rsidRPr="00216504" w:rsidRDefault="0089091C" w:rsidP="00962D6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Jul 24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C921" w14:textId="3EBA83A1" w:rsidR="0089091C" w:rsidRPr="00216504" w:rsidRDefault="0089091C" w:rsidP="0036105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mths</w:t>
            </w:r>
            <w:proofErr w:type="spellEnd"/>
            <w:r w:rsidR="0036105B">
              <w:rPr>
                <w:sz w:val="24"/>
                <w:szCs w:val="24"/>
              </w:rPr>
              <w:t>.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E594" w14:textId="7E4952AB" w:rsidR="0089091C" w:rsidRPr="00216504" w:rsidRDefault="0089091C" w:rsidP="00962D6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£2M</w:t>
            </w:r>
          </w:p>
        </w:tc>
      </w:tr>
      <w:tr w:rsidR="0036105B" w:rsidRPr="00216504" w14:paraId="1D7D17CA" w14:textId="77777777" w:rsidTr="0036105B">
        <w:trPr>
          <w:trHeight w:val="673"/>
        </w:trPr>
        <w:tc>
          <w:tcPr>
            <w:tcW w:w="4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EF70" w14:textId="2673FCF0" w:rsidR="0036105B" w:rsidRPr="00216504" w:rsidRDefault="0036105B" w:rsidP="00BC695E">
            <w:pPr>
              <w:spacing w:line="252" w:lineRule="auto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21650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ESRC, AHRC </w:t>
            </w:r>
            <w:hyperlink r:id="rId26" w:history="1">
              <w:r w:rsidRPr="0036105B">
                <w:rPr>
                  <w:rStyle w:val="Hyperlink"/>
                  <w:color w:val="auto"/>
                  <w:sz w:val="24"/>
                  <w:szCs w:val="24"/>
                </w:rPr>
                <w:t>Social sciences, Humanities &amp; Arts for People &amp; the Economy (SHAPE) Catalyst</w:t>
              </w:r>
            </w:hyperlink>
            <w:r w:rsidRPr="003610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5E26" w14:textId="77777777" w:rsidR="0036105B" w:rsidRPr="00216504" w:rsidRDefault="0036105B" w:rsidP="00BC695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B611" w14:textId="77777777" w:rsidR="0036105B" w:rsidRPr="00216504" w:rsidRDefault="0036105B" w:rsidP="00BC695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July 2024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70FB" w14:textId="77777777" w:rsidR="0036105B" w:rsidRPr="00216504" w:rsidRDefault="0036105B" w:rsidP="00BC695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3FF9" w14:textId="77777777" w:rsidR="0036105B" w:rsidRPr="00216504" w:rsidRDefault="0036105B" w:rsidP="00BC695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£62.5K</w:t>
            </w:r>
          </w:p>
        </w:tc>
      </w:tr>
    </w:tbl>
    <w:p w14:paraId="31937615" w14:textId="77777777" w:rsidR="00F33436" w:rsidRPr="00216504" w:rsidRDefault="00F33436" w:rsidP="00F33436">
      <w:pPr>
        <w:rPr>
          <w:sz w:val="24"/>
          <w:szCs w:val="24"/>
        </w:rPr>
      </w:pPr>
    </w:p>
    <w:tbl>
      <w:tblPr>
        <w:tblW w:w="9052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1276"/>
        <w:gridCol w:w="1275"/>
        <w:gridCol w:w="993"/>
        <w:gridCol w:w="1275"/>
      </w:tblGrid>
      <w:tr w:rsidR="00010311" w:rsidRPr="00216504" w14:paraId="5E67D35C" w14:textId="77777777" w:rsidTr="00B06BB4">
        <w:tc>
          <w:tcPr>
            <w:tcW w:w="4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5790" w14:textId="77777777" w:rsidR="00010311" w:rsidRPr="00216504" w:rsidRDefault="00010311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216504">
              <w:rPr>
                <w:b/>
                <w:bCs/>
                <w:color w:val="FFFFFF"/>
                <w:sz w:val="24"/>
                <w:szCs w:val="24"/>
              </w:rPr>
              <w:t>AHRC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76D8E52F" w14:textId="77777777" w:rsidR="00010311" w:rsidRPr="00216504" w:rsidRDefault="00010311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 xml:space="preserve">EoI DeaDLINE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79DD386A" w14:textId="77777777" w:rsidR="00010311" w:rsidRPr="00216504" w:rsidRDefault="00010311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Deadline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36CA382A" w14:textId="77777777" w:rsidR="00010311" w:rsidRPr="00216504" w:rsidRDefault="00010311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Term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06D96E44" w14:textId="77777777" w:rsidR="00010311" w:rsidRPr="00216504" w:rsidRDefault="00010311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Funding</w:t>
            </w:r>
          </w:p>
        </w:tc>
      </w:tr>
      <w:tr w:rsidR="006D7F01" w:rsidRPr="00216504" w14:paraId="6C9BB99C" w14:textId="77777777" w:rsidTr="007F1E60">
        <w:tc>
          <w:tcPr>
            <w:tcW w:w="4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DAD0" w14:textId="21815BDF" w:rsidR="006D7F01" w:rsidRPr="006D7F01" w:rsidRDefault="00DC1EB2" w:rsidP="00102148">
            <w:pPr>
              <w:spacing w:line="252" w:lineRule="auto"/>
              <w:rPr>
                <w:sz w:val="24"/>
                <w:szCs w:val="24"/>
              </w:rPr>
            </w:pPr>
            <w:hyperlink r:id="rId27" w:history="1">
              <w:r w:rsidR="006D7F01" w:rsidRPr="006D7F01">
                <w:rPr>
                  <w:rStyle w:val="Hyperlink"/>
                  <w:color w:val="auto"/>
                  <w:sz w:val="24"/>
                  <w:szCs w:val="24"/>
                </w:rPr>
                <w:t xml:space="preserve">Cultural Heritage Research Translated </w:t>
              </w:r>
              <w:proofErr w:type="gramStart"/>
              <w:r w:rsidR="006D7F01" w:rsidRPr="006D7F01">
                <w:rPr>
                  <w:rStyle w:val="Hyperlink"/>
                  <w:color w:val="auto"/>
                  <w:sz w:val="24"/>
                  <w:szCs w:val="24"/>
                </w:rPr>
                <w:t>Into</w:t>
              </w:r>
              <w:proofErr w:type="gramEnd"/>
              <w:r w:rsidR="006D7F01" w:rsidRPr="006D7F01">
                <w:rPr>
                  <w:rStyle w:val="Hyperlink"/>
                  <w:color w:val="auto"/>
                  <w:sz w:val="24"/>
                  <w:szCs w:val="24"/>
                </w:rPr>
                <w:t xml:space="preserve"> Climate Change Policy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4423" w14:textId="77777777" w:rsidR="006D7F01" w:rsidRPr="00216504" w:rsidRDefault="006D7F01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8E62E" w14:textId="6BD1A843" w:rsidR="006D7F01" w:rsidRPr="00216504" w:rsidRDefault="006D7F01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Jun 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491A" w14:textId="0C342D44" w:rsidR="006D7F01" w:rsidRPr="00216504" w:rsidRDefault="006D7F01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6mths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54D8" w14:textId="67AD71C4" w:rsidR="006D7F01" w:rsidRPr="00216504" w:rsidRDefault="006D7F01" w:rsidP="00102148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£40-£60k</w:t>
            </w:r>
          </w:p>
        </w:tc>
      </w:tr>
      <w:tr w:rsidR="006E111A" w:rsidRPr="00216504" w14:paraId="6F3CA94D" w14:textId="77777777" w:rsidTr="007F1E60">
        <w:tc>
          <w:tcPr>
            <w:tcW w:w="4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C731" w14:textId="2E054F31" w:rsidR="006E111A" w:rsidRPr="006E111A" w:rsidRDefault="00DC1EB2" w:rsidP="00102148">
            <w:pPr>
              <w:spacing w:line="252" w:lineRule="auto"/>
            </w:pPr>
            <w:hyperlink r:id="rId28" w:history="1">
              <w:r w:rsidR="006E111A" w:rsidRPr="006E111A">
                <w:rPr>
                  <w:rStyle w:val="Hyperlink"/>
                  <w:color w:val="auto"/>
                </w:rPr>
                <w:t>Community-led Heritage Research &amp; Skills Hub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51C7" w14:textId="77777777" w:rsidR="006E111A" w:rsidRPr="00216504" w:rsidRDefault="006E111A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B3B39" w14:textId="3EFB8240" w:rsidR="006E111A" w:rsidRPr="00216504" w:rsidRDefault="006E111A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Jun 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E455" w14:textId="7A8669C0" w:rsidR="006E111A" w:rsidRPr="00216504" w:rsidRDefault="006E111A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5690" w14:textId="5F6D7AB6" w:rsidR="006E111A" w:rsidRPr="00216504" w:rsidRDefault="006E111A" w:rsidP="00102148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£953k</w:t>
            </w:r>
          </w:p>
        </w:tc>
      </w:tr>
      <w:tr w:rsidR="00062A72" w:rsidRPr="00216504" w14:paraId="37E7A1EE" w14:textId="77777777" w:rsidTr="007F1E60">
        <w:tc>
          <w:tcPr>
            <w:tcW w:w="4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11EF" w14:textId="71140914" w:rsidR="00062A72" w:rsidRPr="00D15A4E" w:rsidRDefault="00DC1EB2" w:rsidP="00102148">
            <w:pPr>
              <w:spacing w:line="252" w:lineRule="auto"/>
              <w:rPr>
                <w:sz w:val="24"/>
                <w:szCs w:val="24"/>
              </w:rPr>
            </w:pPr>
            <w:hyperlink r:id="rId29" w:history="1">
              <w:r w:rsidR="00062A72" w:rsidRPr="00D15A4E">
                <w:rPr>
                  <w:rStyle w:val="Hyperlink"/>
                  <w:color w:val="auto"/>
                  <w:sz w:val="24"/>
                  <w:szCs w:val="24"/>
                </w:rPr>
                <w:t>BRAID Responsible AI Demonstrators</w:t>
              </w:r>
            </w:hyperlink>
          </w:p>
          <w:p w14:paraId="367D434D" w14:textId="233220FF" w:rsidR="00062A72" w:rsidRPr="00062A72" w:rsidRDefault="00DC1EB2" w:rsidP="00062A72">
            <w:pPr>
              <w:spacing w:line="252" w:lineRule="auto"/>
              <w:rPr>
                <w:sz w:val="24"/>
                <w:szCs w:val="24"/>
              </w:rPr>
            </w:pPr>
            <w:hyperlink r:id="rId30" w:anchor="/registration" w:history="1">
              <w:r w:rsidR="00062A72" w:rsidRPr="00062A72">
                <w:rPr>
                  <w:rStyle w:val="Hyperlink"/>
                  <w:color w:val="auto"/>
                  <w:sz w:val="24"/>
                  <w:szCs w:val="24"/>
                </w:rPr>
                <w:t>Webinar</w:t>
              </w:r>
            </w:hyperlink>
            <w:r w:rsidR="00062A72" w:rsidRPr="00062A72">
              <w:rPr>
                <w:sz w:val="24"/>
                <w:szCs w:val="24"/>
              </w:rPr>
              <w:t xml:space="preserve"> </w:t>
            </w:r>
            <w:r w:rsidR="00062A72">
              <w:rPr>
                <w:sz w:val="24"/>
                <w:szCs w:val="24"/>
              </w:rPr>
              <w:t>18 Apr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A5FA" w14:textId="6DA8ED5E" w:rsidR="00062A72" w:rsidRPr="00216504" w:rsidRDefault="00062A72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May 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7330" w14:textId="09421053" w:rsidR="00062A72" w:rsidRDefault="00062A72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Jun 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CC96" w14:textId="5DF5AD54" w:rsidR="00062A72" w:rsidRDefault="00062A72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36mths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494C" w14:textId="2EDA9E68" w:rsidR="00062A72" w:rsidRDefault="00062A72" w:rsidP="00102148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£900k-£1.1m</w:t>
            </w:r>
          </w:p>
        </w:tc>
      </w:tr>
      <w:tr w:rsidR="00175E8A" w:rsidRPr="00216504" w14:paraId="71A60DDC" w14:textId="77777777" w:rsidTr="007F1E60">
        <w:tc>
          <w:tcPr>
            <w:tcW w:w="4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05BF" w14:textId="7F5627F6" w:rsidR="00175E8A" w:rsidRPr="00175E8A" w:rsidRDefault="00DC1EB2" w:rsidP="00102148">
            <w:pPr>
              <w:spacing w:line="252" w:lineRule="auto"/>
            </w:pPr>
            <w:hyperlink r:id="rId31" w:history="1">
              <w:r w:rsidR="00175E8A" w:rsidRPr="00175E8A">
                <w:rPr>
                  <w:rStyle w:val="Hyperlink"/>
                  <w:color w:val="auto"/>
                </w:rPr>
                <w:t>Pre-announcement: Design Accelerators round three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4521" w14:textId="7A4DA86A" w:rsidR="00175E8A" w:rsidRDefault="00175E8A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Opens 1 Jul 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8FB2D" w14:textId="19A50C28" w:rsidR="00175E8A" w:rsidRDefault="00175E8A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Oct 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AE50" w14:textId="055F7DC7" w:rsidR="00175E8A" w:rsidRDefault="00175E8A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mths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F90B" w14:textId="567C1F80" w:rsidR="00175E8A" w:rsidRDefault="00175E8A" w:rsidP="00102148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£35-£65k</w:t>
            </w:r>
          </w:p>
        </w:tc>
      </w:tr>
      <w:tr w:rsidR="009730BE" w:rsidRPr="00216504" w14:paraId="33D441D1" w14:textId="77777777" w:rsidTr="007F1E60">
        <w:tc>
          <w:tcPr>
            <w:tcW w:w="4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9E4E" w14:textId="0E39154E" w:rsidR="009730BE" w:rsidRPr="009730BE" w:rsidRDefault="00DC1EB2" w:rsidP="00062A72">
            <w:pPr>
              <w:spacing w:line="252" w:lineRule="auto"/>
            </w:pPr>
            <w:hyperlink r:id="rId32" w:history="1">
              <w:r w:rsidR="009730BE" w:rsidRPr="009730BE">
                <w:rPr>
                  <w:rStyle w:val="Hyperlink"/>
                  <w:color w:val="auto"/>
                </w:rPr>
                <w:t>Support knowledge exchange for European humanities research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F1E5" w14:textId="77777777" w:rsidR="009730BE" w:rsidRPr="00216504" w:rsidRDefault="009730BE" w:rsidP="00062A7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CDD0C" w14:textId="6B56913C" w:rsidR="009730BE" w:rsidRPr="00216504" w:rsidRDefault="009730BE" w:rsidP="00062A72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Jul 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DCC4" w14:textId="5F2068A5" w:rsidR="009730BE" w:rsidRPr="00216504" w:rsidRDefault="009730BE" w:rsidP="00062A72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3.5yrs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2904" w14:textId="1180BD58" w:rsidR="009730BE" w:rsidRPr="00216504" w:rsidRDefault="009730BE" w:rsidP="00062A72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£500k</w:t>
            </w:r>
          </w:p>
        </w:tc>
      </w:tr>
      <w:tr w:rsidR="00062A72" w:rsidRPr="00216504" w14:paraId="6AD8E5BA" w14:textId="77777777" w:rsidTr="007F1E60">
        <w:tc>
          <w:tcPr>
            <w:tcW w:w="4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BC38" w14:textId="6AE82202" w:rsidR="00062A72" w:rsidRDefault="00DC1EB2" w:rsidP="00062A72">
            <w:pPr>
              <w:spacing w:line="252" w:lineRule="auto"/>
            </w:pPr>
            <w:hyperlink r:id="rId33" w:history="1">
              <w:r w:rsidR="00062A72" w:rsidRPr="00216504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Centre for Law and Social Justice 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738F" w14:textId="666D88BB" w:rsidR="00062A72" w:rsidRPr="00216504" w:rsidRDefault="00062A72" w:rsidP="00062A7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Jan 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6F143" w14:textId="13235E41" w:rsidR="00062A72" w:rsidRDefault="00062A72" w:rsidP="00062A7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16 Jul 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A001" w14:textId="4EE3A1CE" w:rsidR="00062A72" w:rsidRDefault="00062A72" w:rsidP="00062A7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5 years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528E" w14:textId="0DC32C89" w:rsidR="00062A72" w:rsidRDefault="00062A72" w:rsidP="00062A72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 w:rsidRPr="00216504">
              <w:rPr>
                <w:sz w:val="24"/>
                <w:szCs w:val="24"/>
                <w:lang w:eastAsia="en-GB"/>
              </w:rPr>
              <w:t>£4M</w:t>
            </w:r>
          </w:p>
        </w:tc>
      </w:tr>
      <w:tr w:rsidR="00AE30FF" w:rsidRPr="00216504" w14:paraId="499D4140" w14:textId="77777777" w:rsidTr="007F1E60">
        <w:tc>
          <w:tcPr>
            <w:tcW w:w="4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2819" w14:textId="56C7551A" w:rsidR="00AE30FF" w:rsidRPr="00AE30FF" w:rsidRDefault="00DC1EB2" w:rsidP="00102148">
            <w:pPr>
              <w:spacing w:line="252" w:lineRule="auto"/>
            </w:pPr>
            <w:hyperlink r:id="rId34" w:history="1">
              <w:r w:rsidR="00AE30FF" w:rsidRPr="00AE30FF">
                <w:rPr>
                  <w:rStyle w:val="Hyperlink"/>
                  <w:color w:val="auto"/>
                </w:rPr>
                <w:t>Design Exchange Partnerships: Design the Green Transition – Round 3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3094" w14:textId="77777777" w:rsidR="00AE30FF" w:rsidRPr="00216504" w:rsidRDefault="00AE30FF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29460" w14:textId="0BB484ED" w:rsidR="00AE30FF" w:rsidRPr="00216504" w:rsidRDefault="00AE30FF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Sept 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1565" w14:textId="14D8B48B" w:rsidR="00AE30FF" w:rsidRPr="00216504" w:rsidRDefault="00AE30FF" w:rsidP="0010214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6-12 </w:t>
            </w:r>
            <w:proofErr w:type="spellStart"/>
            <w:r>
              <w:rPr>
                <w:sz w:val="24"/>
                <w:szCs w:val="24"/>
              </w:rPr>
              <w:t>mths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9A89" w14:textId="591B2AF1" w:rsidR="00AE30FF" w:rsidRPr="00216504" w:rsidRDefault="00AE30FF" w:rsidP="00102148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£62.5k-£125k</w:t>
            </w:r>
          </w:p>
        </w:tc>
      </w:tr>
    </w:tbl>
    <w:p w14:paraId="5F2A7333" w14:textId="77777777" w:rsidR="00F33436" w:rsidRPr="00216504" w:rsidRDefault="00F33436" w:rsidP="00F33436">
      <w:pPr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1276"/>
        <w:gridCol w:w="1176"/>
        <w:gridCol w:w="1016"/>
        <w:gridCol w:w="1295"/>
      </w:tblGrid>
      <w:tr w:rsidR="00F33436" w:rsidRPr="00216504" w14:paraId="4C0D373C" w14:textId="77777777" w:rsidTr="00B06BB4">
        <w:tc>
          <w:tcPr>
            <w:tcW w:w="4233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5D57" w14:textId="77777777" w:rsidR="00F33436" w:rsidRPr="00216504" w:rsidRDefault="00F33436">
            <w:pPr>
              <w:spacing w:line="252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olor w:val="FFFFFF"/>
                <w:sz w:val="24"/>
                <w:szCs w:val="24"/>
              </w:rPr>
              <w:t>BBSRC</w:t>
            </w:r>
          </w:p>
        </w:tc>
        <w:tc>
          <w:tcPr>
            <w:tcW w:w="1276" w:type="dxa"/>
            <w:shd w:val="clear" w:color="auto" w:fill="002060"/>
            <w:hideMark/>
          </w:tcPr>
          <w:p w14:paraId="5C13CF6F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 xml:space="preserve">EoI DeaDLINE </w:t>
            </w:r>
          </w:p>
        </w:tc>
        <w:tc>
          <w:tcPr>
            <w:tcW w:w="1176" w:type="dxa"/>
            <w:shd w:val="clear" w:color="auto" w:fill="002060"/>
            <w:hideMark/>
          </w:tcPr>
          <w:p w14:paraId="7F09C6D6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Deadline</w:t>
            </w:r>
          </w:p>
        </w:tc>
        <w:tc>
          <w:tcPr>
            <w:tcW w:w="1016" w:type="dxa"/>
            <w:shd w:val="clear" w:color="auto" w:fill="002060"/>
            <w:hideMark/>
          </w:tcPr>
          <w:p w14:paraId="351E0710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Term</w:t>
            </w:r>
          </w:p>
        </w:tc>
        <w:tc>
          <w:tcPr>
            <w:tcW w:w="1295" w:type="dxa"/>
            <w:shd w:val="clear" w:color="auto" w:fill="002060"/>
            <w:hideMark/>
          </w:tcPr>
          <w:p w14:paraId="5C01CC73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Funding</w:t>
            </w:r>
          </w:p>
        </w:tc>
      </w:tr>
      <w:tr w:rsidR="00D27E94" w:rsidRPr="00216504" w14:paraId="6064772B" w14:textId="77777777" w:rsidTr="00D67E9A">
        <w:trPr>
          <w:trHeight w:val="627"/>
        </w:trPr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CB7F" w14:textId="6F41D20B" w:rsidR="00D27E94" w:rsidRPr="00D27E94" w:rsidRDefault="00DC1EB2">
            <w:pPr>
              <w:spacing w:line="252" w:lineRule="auto"/>
            </w:pPr>
            <w:hyperlink r:id="rId35" w:history="1">
              <w:r w:rsidR="00D27E94" w:rsidRPr="00D27E94">
                <w:rPr>
                  <w:rStyle w:val="Hyperlink"/>
                  <w:color w:val="auto"/>
                </w:rPr>
                <w:t xml:space="preserve">Enhancing equality, </w:t>
              </w:r>
              <w:proofErr w:type="gramStart"/>
              <w:r w:rsidR="00D27E94" w:rsidRPr="00D27E94">
                <w:rPr>
                  <w:rStyle w:val="Hyperlink"/>
                  <w:color w:val="auto"/>
                </w:rPr>
                <w:t>diversity</w:t>
              </w:r>
              <w:proofErr w:type="gramEnd"/>
              <w:r w:rsidR="00D27E94" w:rsidRPr="00D27E94">
                <w:rPr>
                  <w:rStyle w:val="Hyperlink"/>
                  <w:color w:val="auto"/>
                </w:rPr>
                <w:t xml:space="preserve"> and inclusion in BBSRC-funded networks</w:t>
              </w:r>
            </w:hyperlink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C35F" w14:textId="47A5A960" w:rsidR="00D27E94" w:rsidRDefault="00D27E9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3EC1CD22" w14:textId="7110F8D4" w:rsidR="00D27E94" w:rsidRDefault="00D27E9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Jun 24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5EFB" w14:textId="10F27603" w:rsidR="00D27E94" w:rsidRDefault="00D27E9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7D8D" w14:textId="16C395FF" w:rsidR="00D27E94" w:rsidRDefault="00D27E94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£50-100k</w:t>
            </w:r>
          </w:p>
        </w:tc>
      </w:tr>
      <w:tr w:rsidR="009730BE" w:rsidRPr="00216504" w14:paraId="52D979EB" w14:textId="77777777" w:rsidTr="00D67E9A">
        <w:trPr>
          <w:trHeight w:val="627"/>
        </w:trPr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67BE" w14:textId="1383DBD5" w:rsidR="009730BE" w:rsidRDefault="00DC1EB2" w:rsidP="009730BE">
            <w:pPr>
              <w:spacing w:line="252" w:lineRule="auto"/>
            </w:pPr>
            <w:hyperlink r:id="rId36" w:history="1">
              <w:r w:rsidR="009730BE" w:rsidRPr="009730BE">
                <w:rPr>
                  <w:rStyle w:val="Hyperlink"/>
                  <w:color w:val="auto"/>
                </w:rPr>
                <w:t>Innovation to Commercialisation of University Research (</w:t>
              </w:r>
              <w:proofErr w:type="spellStart"/>
              <w:r w:rsidR="009730BE" w:rsidRPr="009730BE">
                <w:rPr>
                  <w:rStyle w:val="Hyperlink"/>
                  <w:color w:val="auto"/>
                </w:rPr>
                <w:t>ICURe</w:t>
              </w:r>
              <w:proofErr w:type="spellEnd"/>
              <w:r w:rsidR="009730BE" w:rsidRPr="009730BE">
                <w:rPr>
                  <w:rStyle w:val="Hyperlink"/>
                  <w:color w:val="auto"/>
                </w:rPr>
                <w:t>) Explore</w:t>
              </w:r>
            </w:hyperlink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E128" w14:textId="3A38E432" w:rsidR="009730BE" w:rsidRDefault="009730BE" w:rsidP="009730B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637C7C0B" w14:textId="2C855FC8" w:rsidR="009730BE" w:rsidRDefault="009730BE" w:rsidP="009730B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Sept 24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9AE5" w14:textId="58D05902" w:rsidR="009730BE" w:rsidRDefault="009730BE" w:rsidP="009730B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weeks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286C" w14:textId="66DFBC2A" w:rsidR="009730BE" w:rsidRDefault="009730BE" w:rsidP="009730BE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£35k</w:t>
            </w:r>
          </w:p>
        </w:tc>
      </w:tr>
      <w:tr w:rsidR="009730BE" w:rsidRPr="00216504" w14:paraId="608E3739" w14:textId="77777777" w:rsidTr="00D67E9A">
        <w:trPr>
          <w:trHeight w:val="627"/>
        </w:trPr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B8A1" w14:textId="31AFAAF7" w:rsidR="009730BE" w:rsidRDefault="00DC1EB2" w:rsidP="009730BE">
            <w:pPr>
              <w:spacing w:line="252" w:lineRule="auto"/>
            </w:pPr>
            <w:hyperlink r:id="rId37" w:history="1">
              <w:r w:rsidR="009730BE" w:rsidRPr="009730BE">
                <w:rPr>
                  <w:rStyle w:val="Hyperlink"/>
                  <w:color w:val="auto"/>
                </w:rPr>
                <w:t>Innovation to Commercialisation of University Research (</w:t>
              </w:r>
              <w:proofErr w:type="spellStart"/>
              <w:r w:rsidR="009730BE" w:rsidRPr="009730BE">
                <w:rPr>
                  <w:rStyle w:val="Hyperlink"/>
                  <w:color w:val="auto"/>
                </w:rPr>
                <w:t>ICURe</w:t>
              </w:r>
              <w:proofErr w:type="spellEnd"/>
              <w:r w:rsidR="009730BE" w:rsidRPr="009730BE">
                <w:rPr>
                  <w:rStyle w:val="Hyperlink"/>
                  <w:color w:val="auto"/>
                </w:rPr>
                <w:t>) Discover</w:t>
              </w:r>
            </w:hyperlink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D93A" w14:textId="33971FA4" w:rsidR="009730BE" w:rsidRDefault="009730BE" w:rsidP="009730B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2487264B" w14:textId="048AB378" w:rsidR="009730BE" w:rsidRDefault="009730BE" w:rsidP="009730B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Sept 24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C2C4" w14:textId="6362CDCF" w:rsidR="009730BE" w:rsidRDefault="009730BE" w:rsidP="009730B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weeks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C9E5" w14:textId="4FEAC06C" w:rsidR="009730BE" w:rsidRDefault="009730BE" w:rsidP="009730BE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£3,700</w:t>
            </w:r>
          </w:p>
        </w:tc>
      </w:tr>
    </w:tbl>
    <w:p w14:paraId="43ECAA99" w14:textId="77777777" w:rsidR="00F33436" w:rsidRDefault="00F33436" w:rsidP="00F33436">
      <w:pPr>
        <w:jc w:val="center"/>
        <w:rPr>
          <w:b/>
          <w:bCs/>
          <w:sz w:val="24"/>
          <w:szCs w:val="24"/>
        </w:rPr>
      </w:pPr>
    </w:p>
    <w:p w14:paraId="2AFBC81E" w14:textId="77777777" w:rsidR="00A16299" w:rsidRDefault="00A16299" w:rsidP="00F33436">
      <w:pPr>
        <w:jc w:val="center"/>
        <w:rPr>
          <w:b/>
          <w:bCs/>
          <w:sz w:val="24"/>
          <w:szCs w:val="24"/>
        </w:rPr>
      </w:pPr>
    </w:p>
    <w:p w14:paraId="58F5FCD9" w14:textId="77777777" w:rsidR="00A16299" w:rsidRDefault="00A16299" w:rsidP="00F33436">
      <w:pPr>
        <w:jc w:val="center"/>
        <w:rPr>
          <w:b/>
          <w:bCs/>
          <w:sz w:val="24"/>
          <w:szCs w:val="24"/>
        </w:rPr>
      </w:pPr>
    </w:p>
    <w:p w14:paraId="2E5FFEAF" w14:textId="77777777" w:rsidR="00A16299" w:rsidRDefault="00A16299" w:rsidP="00F33436">
      <w:pPr>
        <w:jc w:val="center"/>
        <w:rPr>
          <w:b/>
          <w:bCs/>
          <w:sz w:val="24"/>
          <w:szCs w:val="24"/>
        </w:rPr>
      </w:pPr>
    </w:p>
    <w:p w14:paraId="479E360C" w14:textId="77777777" w:rsidR="00487FF0" w:rsidRDefault="00487FF0" w:rsidP="00F3343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342"/>
        <w:gridCol w:w="1114"/>
        <w:gridCol w:w="1320"/>
        <w:gridCol w:w="1072"/>
        <w:gridCol w:w="1211"/>
      </w:tblGrid>
      <w:tr w:rsidR="001D1A66" w:rsidRPr="00216504" w14:paraId="310E7018" w14:textId="77777777" w:rsidTr="0089091C">
        <w:tc>
          <w:tcPr>
            <w:tcW w:w="20" w:type="dxa"/>
            <w:vAlign w:val="center"/>
          </w:tcPr>
          <w:p w14:paraId="21E6E7A6" w14:textId="77777777" w:rsidR="001D1A66" w:rsidRPr="00216504" w:rsidRDefault="001D1A66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853A" w14:textId="77777777" w:rsidR="001D1A66" w:rsidRPr="00216504" w:rsidRDefault="001D1A66" w:rsidP="002E22A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216504">
              <w:rPr>
                <w:b/>
                <w:bCs/>
                <w:color w:val="FFFFFF"/>
                <w:sz w:val="24"/>
                <w:szCs w:val="24"/>
              </w:rPr>
              <w:t>EPSRC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7C70D0B4" w14:textId="77777777" w:rsidR="001D1A66" w:rsidRPr="00216504" w:rsidRDefault="001D1A66" w:rsidP="002E22A6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 xml:space="preserve">EoI DeaDLINE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0F038EA7" w14:textId="77777777" w:rsidR="001D1A66" w:rsidRPr="00216504" w:rsidRDefault="001D1A66" w:rsidP="002E22A6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Deadline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16846547" w14:textId="77777777" w:rsidR="001D1A66" w:rsidRPr="00216504" w:rsidRDefault="001D1A66" w:rsidP="002E22A6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Term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702E08A4" w14:textId="77777777" w:rsidR="001D1A66" w:rsidRPr="00216504" w:rsidRDefault="001D1A66" w:rsidP="002E22A6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Funding</w:t>
            </w:r>
          </w:p>
        </w:tc>
      </w:tr>
      <w:tr w:rsidR="00C73107" w:rsidRPr="00216504" w14:paraId="101546E6" w14:textId="77777777" w:rsidTr="0089091C">
        <w:tc>
          <w:tcPr>
            <w:tcW w:w="20" w:type="dxa"/>
            <w:tcBorders>
              <w:right w:val="single" w:sz="4" w:space="0" w:color="auto"/>
            </w:tcBorders>
            <w:vAlign w:val="center"/>
          </w:tcPr>
          <w:p w14:paraId="166A7C8E" w14:textId="77777777" w:rsidR="00C73107" w:rsidRPr="00C73107" w:rsidRDefault="00C73107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196C" w14:textId="0B74C2EA" w:rsidR="00C73107" w:rsidRPr="00C73107" w:rsidRDefault="00DC1EB2" w:rsidP="002E22A6">
            <w:pPr>
              <w:spacing w:line="252" w:lineRule="auto"/>
            </w:pPr>
            <w:hyperlink r:id="rId38" w:history="1">
              <w:r w:rsidR="00C73107" w:rsidRPr="00C73107">
                <w:rPr>
                  <w:rStyle w:val="Hyperlink"/>
                  <w:color w:val="auto"/>
                </w:rPr>
                <w:t>Manufacturing research hubs for a sustainable future three: outline</w:t>
              </w:r>
            </w:hyperlink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2CD" w14:textId="1291DAE4" w:rsidR="00C73107" w:rsidRPr="00216504" w:rsidRDefault="00C73107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1 deadline 4 July 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3FA6" w14:textId="43E4C3D0" w:rsidR="00C73107" w:rsidRDefault="00FD141C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Stage 2 (Full): </w:t>
            </w:r>
            <w:r w:rsidR="00C73107">
              <w:rPr>
                <w:sz w:val="24"/>
                <w:szCs w:val="24"/>
              </w:rPr>
              <w:t>October 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A097" w14:textId="471A0DC9" w:rsidR="00C73107" w:rsidRDefault="00C73107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A029" w14:textId="1CAA89B6" w:rsidR="00C73107" w:rsidRDefault="00C73107" w:rsidP="002E22A6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£13,750M</w:t>
            </w:r>
          </w:p>
        </w:tc>
      </w:tr>
      <w:tr w:rsidR="00C7608B" w:rsidRPr="00216504" w14:paraId="2A87E79B" w14:textId="77777777" w:rsidTr="0089091C">
        <w:tc>
          <w:tcPr>
            <w:tcW w:w="20" w:type="dxa"/>
            <w:tcBorders>
              <w:right w:val="single" w:sz="4" w:space="0" w:color="auto"/>
            </w:tcBorders>
            <w:vAlign w:val="center"/>
          </w:tcPr>
          <w:p w14:paraId="3A7B0538" w14:textId="77777777" w:rsidR="00C7608B" w:rsidRPr="00C7608B" w:rsidRDefault="00C7608B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0CB6" w14:textId="0D8F4BBA" w:rsidR="00C7608B" w:rsidRPr="00C7608B" w:rsidRDefault="00DC1EB2" w:rsidP="002E22A6">
            <w:pPr>
              <w:spacing w:line="252" w:lineRule="auto"/>
              <w:rPr>
                <w:sz w:val="24"/>
                <w:szCs w:val="24"/>
              </w:rPr>
            </w:pPr>
            <w:hyperlink r:id="rId39" w:history="1">
              <w:r w:rsidR="00C7608B" w:rsidRPr="00C7608B">
                <w:rPr>
                  <w:rStyle w:val="Hyperlink"/>
                  <w:color w:val="auto"/>
                  <w:sz w:val="24"/>
                  <w:szCs w:val="24"/>
                </w:rPr>
                <w:t>Network Plus: Tomorrow’s Engineering Research Challenges</w:t>
              </w:r>
            </w:hyperlink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7404" w14:textId="77777777" w:rsidR="00C7608B" w:rsidRPr="00216504" w:rsidRDefault="00C7608B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8562" w14:textId="27B42518" w:rsidR="00C7608B" w:rsidRDefault="00C7608B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Jul 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E8D3" w14:textId="1830B9CA" w:rsidR="00C7608B" w:rsidRDefault="00C7608B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D9E5" w14:textId="1110CB1C" w:rsidR="00C7608B" w:rsidRDefault="00C7608B" w:rsidP="002E22A6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£1m-£1.75m</w:t>
            </w:r>
          </w:p>
        </w:tc>
      </w:tr>
      <w:tr w:rsidR="00C73107" w:rsidRPr="00216504" w14:paraId="361D0827" w14:textId="77777777" w:rsidTr="0089091C">
        <w:tc>
          <w:tcPr>
            <w:tcW w:w="20" w:type="dxa"/>
            <w:tcBorders>
              <w:right w:val="single" w:sz="4" w:space="0" w:color="auto"/>
            </w:tcBorders>
            <w:vAlign w:val="center"/>
          </w:tcPr>
          <w:p w14:paraId="398A01A3" w14:textId="77777777" w:rsidR="00C73107" w:rsidRPr="00C7608B" w:rsidRDefault="00C73107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A9AC" w14:textId="49422E5C" w:rsidR="00C73107" w:rsidRPr="00C73107" w:rsidRDefault="00DC1EB2" w:rsidP="002E22A6">
            <w:pPr>
              <w:spacing w:line="252" w:lineRule="auto"/>
            </w:pPr>
            <w:hyperlink r:id="rId40" w:history="1">
              <w:r w:rsidR="00C73107" w:rsidRPr="00C73107">
                <w:rPr>
                  <w:rStyle w:val="Hyperlink"/>
                  <w:color w:val="auto"/>
                </w:rPr>
                <w:t>Health Technologies Connectivity Awards</w:t>
              </w:r>
            </w:hyperlink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150F" w14:textId="77777777" w:rsidR="00C73107" w:rsidRPr="00216504" w:rsidRDefault="00C73107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B7BF" w14:textId="221E0EFF" w:rsidR="00C73107" w:rsidRDefault="00C73107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Sept 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BEF4" w14:textId="00A79B24" w:rsidR="00C73107" w:rsidRDefault="00C73107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62B2" w14:textId="6BF8F39E" w:rsidR="00C73107" w:rsidRDefault="00C73107" w:rsidP="002E22A6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£500k</w:t>
            </w:r>
          </w:p>
        </w:tc>
      </w:tr>
      <w:tr w:rsidR="001D1A66" w:rsidRPr="00216504" w14:paraId="73873B31" w14:textId="77777777" w:rsidTr="0089091C">
        <w:tc>
          <w:tcPr>
            <w:tcW w:w="20" w:type="dxa"/>
            <w:tcBorders>
              <w:right w:val="single" w:sz="4" w:space="0" w:color="auto"/>
            </w:tcBorders>
            <w:vAlign w:val="center"/>
          </w:tcPr>
          <w:p w14:paraId="4A1D1987" w14:textId="77777777" w:rsidR="001D1A66" w:rsidRPr="004C72CD" w:rsidRDefault="001D1A66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3F89" w14:textId="77777777" w:rsidR="001D1A66" w:rsidRPr="004C72CD" w:rsidRDefault="00DC1EB2" w:rsidP="002E22A6">
            <w:pPr>
              <w:spacing w:line="252" w:lineRule="auto"/>
            </w:pPr>
            <w:hyperlink r:id="rId41" w:history="1">
              <w:r w:rsidR="001D1A66" w:rsidRPr="004C72CD">
                <w:rPr>
                  <w:rStyle w:val="Hyperlink"/>
                  <w:color w:val="auto"/>
                </w:rPr>
                <w:t>EPSRC Network Plus Opportunity for Technologies to Enable Independence for People Living with Dementia</w:t>
              </w:r>
            </w:hyperlink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F66" w14:textId="77777777" w:rsidR="001D1A66" w:rsidRPr="00216504" w:rsidRDefault="001D1A66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D3B8" w14:textId="77777777" w:rsidR="001D1A66" w:rsidRDefault="001D1A66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Sept 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279E" w14:textId="5F6603E6" w:rsidR="001D1A66" w:rsidRDefault="001D1A66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y</w:t>
            </w:r>
            <w:r w:rsidR="00C7608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8FD8" w14:textId="77777777" w:rsidR="001D1A66" w:rsidRDefault="001D1A66" w:rsidP="002E22A6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£2m</w:t>
            </w:r>
          </w:p>
        </w:tc>
      </w:tr>
      <w:tr w:rsidR="0036105B" w:rsidRPr="00216504" w14:paraId="0EC927E0" w14:textId="77777777" w:rsidTr="0089091C">
        <w:tc>
          <w:tcPr>
            <w:tcW w:w="20" w:type="dxa"/>
            <w:tcBorders>
              <w:right w:val="single" w:sz="4" w:space="0" w:color="auto"/>
            </w:tcBorders>
            <w:vAlign w:val="center"/>
          </w:tcPr>
          <w:p w14:paraId="6716DE92" w14:textId="77777777" w:rsidR="0036105B" w:rsidRPr="004C72CD" w:rsidRDefault="0036105B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7CAC" w14:textId="12A8AA6D" w:rsidR="0036105B" w:rsidRDefault="00DC1EB2" w:rsidP="002E22A6">
            <w:pPr>
              <w:spacing w:line="252" w:lineRule="auto"/>
            </w:pPr>
            <w:hyperlink r:id="rId42" w:history="1">
              <w:r w:rsidR="0036105B" w:rsidRPr="002B79E0">
                <w:rPr>
                  <w:rStyle w:val="Hyperlink"/>
                  <w:color w:val="auto"/>
                </w:rPr>
                <w:t>International centre to centre research collaborations: Outlines</w:t>
              </w:r>
            </w:hyperlink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96F" w14:textId="61997AD0" w:rsidR="0036105B" w:rsidRPr="00216504" w:rsidRDefault="00DC1EB2" w:rsidP="00DC1EB2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September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300B" w14:textId="2F164335" w:rsidR="0036105B" w:rsidRDefault="00DC1EB2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Invited Deadline Feb 2025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97CA" w14:textId="77777777" w:rsidR="00DC1EB2" w:rsidRDefault="00DC1EB2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77E60317" w14:textId="041D16DC" w:rsidR="0036105B" w:rsidRDefault="002B79E0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A7BA" w14:textId="77777777" w:rsidR="00DC1EB2" w:rsidRDefault="00DC1EB2" w:rsidP="002E22A6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</w:p>
          <w:p w14:paraId="4E11752D" w14:textId="5D85FE1E" w:rsidR="0036105B" w:rsidRDefault="002B79E0" w:rsidP="002E22A6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£1.8m</w:t>
            </w:r>
          </w:p>
        </w:tc>
      </w:tr>
      <w:tr w:rsidR="001D1A66" w:rsidRPr="00216504" w14:paraId="278A6267" w14:textId="77777777" w:rsidTr="0089091C">
        <w:tc>
          <w:tcPr>
            <w:tcW w:w="20" w:type="dxa"/>
            <w:tcBorders>
              <w:right w:val="single" w:sz="4" w:space="0" w:color="auto"/>
            </w:tcBorders>
            <w:vAlign w:val="center"/>
          </w:tcPr>
          <w:p w14:paraId="25F6ABF5" w14:textId="77777777" w:rsidR="001D1A66" w:rsidRPr="00AF48E7" w:rsidRDefault="001D1A66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91E0" w14:textId="7828D863" w:rsidR="001D1A66" w:rsidRPr="00AF48E7" w:rsidRDefault="00DC1EB2" w:rsidP="002E22A6">
            <w:pPr>
              <w:spacing w:line="252" w:lineRule="auto"/>
              <w:rPr>
                <w:sz w:val="24"/>
                <w:szCs w:val="24"/>
              </w:rPr>
            </w:pPr>
            <w:hyperlink r:id="rId43" w:history="1">
              <w:r w:rsidR="001D1A66">
                <w:rPr>
                  <w:rStyle w:val="Hyperlink"/>
                  <w:color w:val="auto"/>
                  <w:sz w:val="24"/>
                  <w:szCs w:val="24"/>
                </w:rPr>
                <w:t>Accelerating research outcomes to deliver a prosperous net zero</w:t>
              </w:r>
            </w:hyperlink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6DF" w14:textId="77777777" w:rsidR="001D1A66" w:rsidRDefault="001D1A66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273AA135" w14:textId="77777777" w:rsidR="001D1A66" w:rsidRPr="00216504" w:rsidRDefault="001D1A66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May 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30B8" w14:textId="77777777" w:rsidR="001D1A66" w:rsidRDefault="001D1A66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3924BABE" w14:textId="77777777" w:rsidR="001D1A66" w:rsidRPr="00216504" w:rsidRDefault="001D1A66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Sept 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D1D4" w14:textId="77777777" w:rsidR="001D1A66" w:rsidRDefault="001D1A66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59AAA4CE" w14:textId="77777777" w:rsidR="001D1A66" w:rsidRPr="00216504" w:rsidRDefault="001D1A66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2yrs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572B" w14:textId="77777777" w:rsidR="001D1A66" w:rsidRDefault="001D1A66" w:rsidP="002E22A6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</w:p>
          <w:p w14:paraId="36F9C86A" w14:textId="77777777" w:rsidR="001D1A66" w:rsidRPr="00216504" w:rsidRDefault="001D1A66" w:rsidP="002E22A6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£100k-£800k</w:t>
            </w:r>
          </w:p>
        </w:tc>
      </w:tr>
      <w:tr w:rsidR="00C73107" w:rsidRPr="00216504" w14:paraId="24387DA3" w14:textId="77777777" w:rsidTr="0089091C">
        <w:tc>
          <w:tcPr>
            <w:tcW w:w="20" w:type="dxa"/>
            <w:tcBorders>
              <w:right w:val="single" w:sz="4" w:space="0" w:color="auto"/>
            </w:tcBorders>
            <w:vAlign w:val="center"/>
          </w:tcPr>
          <w:p w14:paraId="5326972F" w14:textId="77777777" w:rsidR="00C73107" w:rsidRPr="00AF48E7" w:rsidRDefault="00C73107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1AF5" w14:textId="77777777" w:rsidR="00C73107" w:rsidRDefault="00C73107" w:rsidP="002E22A6">
            <w:pPr>
              <w:spacing w:line="252" w:lineRule="auto"/>
            </w:pPr>
          </w:p>
          <w:p w14:paraId="0A82D725" w14:textId="299E9306" w:rsidR="00C73107" w:rsidRPr="00C73107" w:rsidRDefault="00DC1EB2" w:rsidP="002E22A6">
            <w:pPr>
              <w:spacing w:line="252" w:lineRule="auto"/>
            </w:pPr>
            <w:hyperlink r:id="rId44" w:history="1">
              <w:r w:rsidR="00C73107" w:rsidRPr="00C73107">
                <w:rPr>
                  <w:rStyle w:val="Hyperlink"/>
                  <w:color w:val="auto"/>
                </w:rPr>
                <w:t>Pre-announcement: Sustainable Industrial Futures</w:t>
              </w:r>
            </w:hyperlink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D96" w14:textId="3707C538" w:rsidR="00C73107" w:rsidRDefault="00C73107" w:rsidP="00C7310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Opens 20 Jun</w:t>
            </w:r>
            <w:r>
              <w:rPr>
                <w:sz w:val="24"/>
                <w:szCs w:val="24"/>
              </w:rPr>
              <w:br/>
              <w:t>EoI 1 Aug 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58D6" w14:textId="77777777" w:rsidR="00C73107" w:rsidRDefault="00C73107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690737B4" w14:textId="66586D84" w:rsidR="00C73107" w:rsidRDefault="00C73107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Nov 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736B" w14:textId="77777777" w:rsidR="00C73107" w:rsidRDefault="00C73107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54F0EA07" w14:textId="002D833A" w:rsidR="00C73107" w:rsidRDefault="00C73107" w:rsidP="002E22A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DC71" w14:textId="77777777" w:rsidR="00C73107" w:rsidRDefault="00C73107" w:rsidP="002E22A6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</w:p>
          <w:p w14:paraId="394EEF20" w14:textId="6D0FFB05" w:rsidR="00C73107" w:rsidRDefault="00C73107" w:rsidP="002E22A6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£21M</w:t>
            </w:r>
          </w:p>
        </w:tc>
      </w:tr>
    </w:tbl>
    <w:p w14:paraId="70BD8142" w14:textId="77777777" w:rsidR="001D1A66" w:rsidRDefault="001D1A66" w:rsidP="00F33436">
      <w:pPr>
        <w:jc w:val="center"/>
        <w:rPr>
          <w:b/>
          <w:bCs/>
          <w:sz w:val="24"/>
          <w:szCs w:val="24"/>
        </w:rPr>
      </w:pPr>
    </w:p>
    <w:p w14:paraId="15C8E856" w14:textId="77777777" w:rsidR="00C73107" w:rsidRDefault="00C73107" w:rsidP="00F3343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21"/>
        <w:gridCol w:w="1089"/>
        <w:gridCol w:w="23"/>
        <w:gridCol w:w="14"/>
        <w:gridCol w:w="36"/>
        <w:gridCol w:w="1253"/>
        <w:gridCol w:w="26"/>
        <w:gridCol w:w="9"/>
        <w:gridCol w:w="36"/>
        <w:gridCol w:w="981"/>
        <w:gridCol w:w="82"/>
        <w:gridCol w:w="1219"/>
      </w:tblGrid>
      <w:tr w:rsidR="00766C12" w:rsidRPr="00216504" w14:paraId="6D4E035D" w14:textId="77777777" w:rsidTr="00DC1EB2">
        <w:tc>
          <w:tcPr>
            <w:tcW w:w="43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467B" w14:textId="427AF444" w:rsidR="00766C12" w:rsidRPr="00216504" w:rsidRDefault="00C73107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766C12" w:rsidRPr="00216504">
              <w:rPr>
                <w:b/>
                <w:bCs/>
                <w:color w:val="FFFFFF"/>
                <w:sz w:val="24"/>
                <w:szCs w:val="24"/>
              </w:rPr>
              <w:t>ESRC</w:t>
            </w:r>
          </w:p>
        </w:tc>
        <w:tc>
          <w:tcPr>
            <w:tcW w:w="1110" w:type="dxa"/>
            <w:gridSpan w:val="2"/>
            <w:shd w:val="clear" w:color="auto" w:fill="002060"/>
            <w:hideMark/>
          </w:tcPr>
          <w:p w14:paraId="7800B219" w14:textId="77777777" w:rsidR="00766C12" w:rsidRPr="00216504" w:rsidRDefault="00766C12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 xml:space="preserve">EoI DeaDLINE </w:t>
            </w:r>
          </w:p>
        </w:tc>
        <w:tc>
          <w:tcPr>
            <w:tcW w:w="1326" w:type="dxa"/>
            <w:gridSpan w:val="4"/>
            <w:shd w:val="clear" w:color="auto" w:fill="002060"/>
            <w:hideMark/>
          </w:tcPr>
          <w:p w14:paraId="4DBD6BFB" w14:textId="77777777" w:rsidR="00766C12" w:rsidRPr="00216504" w:rsidRDefault="00766C12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Deadline</w:t>
            </w:r>
          </w:p>
        </w:tc>
        <w:tc>
          <w:tcPr>
            <w:tcW w:w="1134" w:type="dxa"/>
            <w:gridSpan w:val="5"/>
            <w:shd w:val="clear" w:color="auto" w:fill="002060"/>
            <w:hideMark/>
          </w:tcPr>
          <w:p w14:paraId="76E4629C" w14:textId="77777777" w:rsidR="00766C12" w:rsidRPr="00216504" w:rsidRDefault="00766C12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Term</w:t>
            </w:r>
          </w:p>
        </w:tc>
        <w:tc>
          <w:tcPr>
            <w:tcW w:w="1219" w:type="dxa"/>
            <w:shd w:val="clear" w:color="auto" w:fill="002060"/>
            <w:hideMark/>
          </w:tcPr>
          <w:p w14:paraId="32A7E020" w14:textId="77777777" w:rsidR="00766C12" w:rsidRPr="00216504" w:rsidRDefault="00766C12">
            <w:pPr>
              <w:spacing w:line="252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/>
                <w:sz w:val="24"/>
                <w:szCs w:val="24"/>
              </w:rPr>
              <w:t>Funding</w:t>
            </w:r>
          </w:p>
        </w:tc>
      </w:tr>
      <w:tr w:rsidR="00766C12" w:rsidRPr="00216504" w14:paraId="383108BB" w14:textId="77777777" w:rsidTr="00DC1EB2"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BE" w14:textId="57B87E90" w:rsidR="00766C12" w:rsidRPr="00216504" w:rsidRDefault="00DC1EB2" w:rsidP="00962D64">
            <w:pPr>
              <w:spacing w:line="252" w:lineRule="auto"/>
              <w:rPr>
                <w:sz w:val="24"/>
                <w:szCs w:val="24"/>
              </w:rPr>
            </w:pPr>
            <w:hyperlink r:id="rId45" w:history="1">
              <w:r w:rsidR="00207829">
                <w:rPr>
                  <w:rStyle w:val="Hyperlink"/>
                  <w:color w:val="000000" w:themeColor="text1"/>
                  <w:sz w:val="24"/>
                  <w:szCs w:val="24"/>
                </w:rPr>
                <w:t>ESRC Responsive Mode Research Grant - Round 2</w:t>
              </w:r>
            </w:hyperlink>
          </w:p>
        </w:tc>
        <w:tc>
          <w:tcPr>
            <w:tcW w:w="1110" w:type="dxa"/>
            <w:gridSpan w:val="2"/>
          </w:tcPr>
          <w:p w14:paraId="62996F3E" w14:textId="6CA0B472" w:rsidR="00766C12" w:rsidRPr="00216504" w:rsidRDefault="00DA432F" w:rsidP="00962D6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9AF4" w14:textId="757A9CBC" w:rsidR="00766C12" w:rsidRPr="00216504" w:rsidRDefault="009967E5" w:rsidP="00962D6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>Open</w:t>
            </w:r>
          </w:p>
        </w:tc>
        <w:tc>
          <w:tcPr>
            <w:tcW w:w="11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5F07" w14:textId="0634ACE7" w:rsidR="00766C12" w:rsidRPr="00216504" w:rsidRDefault="00766C12" w:rsidP="00962D6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 xml:space="preserve">3 </w:t>
            </w:r>
            <w:proofErr w:type="spellStart"/>
            <w:r w:rsidRPr="00216504"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67F5" w14:textId="13C68C4F" w:rsidR="00766C12" w:rsidRPr="00216504" w:rsidRDefault="00766C12" w:rsidP="00962D64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 w:rsidRPr="00216504">
              <w:rPr>
                <w:sz w:val="24"/>
                <w:szCs w:val="24"/>
              </w:rPr>
              <w:t>£</w:t>
            </w:r>
            <w:r w:rsidR="009967E5" w:rsidRPr="00216504">
              <w:rPr>
                <w:sz w:val="24"/>
                <w:szCs w:val="24"/>
              </w:rPr>
              <w:t>1m</w:t>
            </w:r>
          </w:p>
        </w:tc>
      </w:tr>
      <w:tr w:rsidR="00F33436" w:rsidRPr="00216504" w14:paraId="4C7D17F2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81A1" w14:textId="77777777" w:rsidR="00F33436" w:rsidRPr="00216504" w:rsidRDefault="00F33436">
            <w:pPr>
              <w:spacing w:line="252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olor w:val="FFFFFF" w:themeColor="background1"/>
                <w:sz w:val="24"/>
                <w:szCs w:val="24"/>
              </w:rPr>
              <w:t>MRC</w:t>
            </w:r>
          </w:p>
        </w:tc>
        <w:tc>
          <w:tcPr>
            <w:tcW w:w="11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2813E74A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EoI DeaDLINE </w:t>
            </w:r>
          </w:p>
        </w:tc>
        <w:tc>
          <w:tcPr>
            <w:tcW w:w="13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1E9CC7A5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Deadline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7FA3BC89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Term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4784CB6E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Funding</w:t>
            </w:r>
          </w:p>
        </w:tc>
      </w:tr>
      <w:tr w:rsidR="001D1A66" w:rsidRPr="00216504" w14:paraId="4A33128F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6D80" w14:textId="46B5374C" w:rsidR="001D1A66" w:rsidRPr="001D1A66" w:rsidRDefault="00DC1EB2">
            <w:pPr>
              <w:spacing w:line="252" w:lineRule="auto"/>
            </w:pPr>
            <w:hyperlink r:id="rId46" w:history="1">
              <w:r w:rsidR="001D1A66" w:rsidRPr="001D1A66">
                <w:rPr>
                  <w:rStyle w:val="Hyperlink"/>
                  <w:color w:val="auto"/>
                </w:rPr>
                <w:t>Pre-Announcement: Enhancing Biomedical and Health-related data and digital platform resources</w:t>
              </w:r>
            </w:hyperlink>
          </w:p>
        </w:tc>
        <w:tc>
          <w:tcPr>
            <w:tcW w:w="1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1B040" w14:textId="3F577E87" w:rsidR="001D1A66" w:rsidRDefault="001D1A6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5EB2" w14:textId="4F2DF9AA" w:rsidR="001D1A66" w:rsidRDefault="001D1A66" w:rsidP="007243C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Jun 24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2023" w14:textId="77777777" w:rsidR="001D1A66" w:rsidRDefault="001D1A66" w:rsidP="00ED4D4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5684852A" w14:textId="0A14BD35" w:rsidR="001D1A66" w:rsidRDefault="001D1A66" w:rsidP="00ED4D4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866F" w14:textId="6EA0F2F9" w:rsidR="001D1A66" w:rsidRDefault="001D1A66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£3.75m</w:t>
            </w:r>
          </w:p>
        </w:tc>
      </w:tr>
      <w:tr w:rsidR="0021541D" w:rsidRPr="00216504" w14:paraId="31B95D16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26A9" w14:textId="59E40D30" w:rsidR="0021541D" w:rsidRDefault="00DC1EB2">
            <w:pPr>
              <w:spacing w:line="252" w:lineRule="auto"/>
            </w:pPr>
            <w:hyperlink r:id="rId47" w:history="1">
              <w:r w:rsidR="0021541D" w:rsidRPr="0021541D">
                <w:rPr>
                  <w:rStyle w:val="Hyperlink"/>
                  <w:color w:val="auto"/>
                  <w:sz w:val="24"/>
                  <w:szCs w:val="24"/>
                </w:rPr>
                <w:t>Artificial Intelligence (AI) for Health</w:t>
              </w:r>
            </w:hyperlink>
          </w:p>
        </w:tc>
        <w:tc>
          <w:tcPr>
            <w:tcW w:w="1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EB47" w14:textId="77777777" w:rsidR="0021541D" w:rsidRDefault="0021541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BA03" w14:textId="72142669" w:rsidR="0021541D" w:rsidRDefault="0021541D" w:rsidP="007243C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Jun 24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0045" w14:textId="28EAB823" w:rsidR="0021541D" w:rsidRDefault="0021541D" w:rsidP="00ED4D4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4895" w14:textId="1A91EB1A" w:rsidR="0021541D" w:rsidRDefault="0021541D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£3m</w:t>
            </w:r>
          </w:p>
        </w:tc>
      </w:tr>
      <w:tr w:rsidR="002B79E0" w:rsidRPr="00216504" w14:paraId="6DA39B0A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26FB" w14:textId="529BAA43" w:rsidR="002B79E0" w:rsidRDefault="00DC1EB2">
            <w:pPr>
              <w:spacing w:line="252" w:lineRule="auto"/>
            </w:pPr>
            <w:hyperlink r:id="rId48" w:history="1">
              <w:r w:rsidR="002B79E0" w:rsidRPr="002B79E0">
                <w:rPr>
                  <w:rStyle w:val="Hyperlink"/>
                  <w:color w:val="auto"/>
                </w:rPr>
                <w:t>Funding for early-stage development of new healthcare interventions</w:t>
              </w:r>
            </w:hyperlink>
          </w:p>
        </w:tc>
        <w:tc>
          <w:tcPr>
            <w:tcW w:w="1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222C8" w14:textId="77777777" w:rsidR="002B79E0" w:rsidRDefault="002B79E0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85EF" w14:textId="77777777" w:rsidR="002B79E0" w:rsidRDefault="002B79E0" w:rsidP="007243C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20CD23F5" w14:textId="03B1FEB4" w:rsidR="002B79E0" w:rsidRDefault="002B79E0" w:rsidP="007243C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Jul 24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248C" w14:textId="46CA7D38" w:rsidR="002B79E0" w:rsidRDefault="002B79E0" w:rsidP="00ED4D4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6-24 </w:t>
            </w:r>
            <w:proofErr w:type="spellStart"/>
            <w:r>
              <w:rPr>
                <w:sz w:val="24"/>
                <w:szCs w:val="24"/>
              </w:rPr>
              <w:t>mths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180E" w14:textId="1B2BFF9D" w:rsidR="002B79E0" w:rsidRDefault="002B79E0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£50-£300k</w:t>
            </w:r>
          </w:p>
        </w:tc>
      </w:tr>
      <w:tr w:rsidR="002B79E0" w:rsidRPr="00216504" w14:paraId="43C16154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C612" w14:textId="64C04695" w:rsidR="002B79E0" w:rsidRPr="002B79E0" w:rsidRDefault="002B79E0">
            <w:pPr>
              <w:spacing w:line="252" w:lineRule="auto"/>
            </w:pPr>
          </w:p>
        </w:tc>
        <w:tc>
          <w:tcPr>
            <w:tcW w:w="1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89340" w14:textId="77777777" w:rsidR="002B79E0" w:rsidRDefault="002B79E0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01FA" w14:textId="61CF320F" w:rsidR="002B79E0" w:rsidRDefault="002B79E0" w:rsidP="007243C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93E2" w14:textId="77777777" w:rsidR="002B79E0" w:rsidRDefault="002B79E0" w:rsidP="00ED4D4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2A8E" w14:textId="77777777" w:rsidR="002B79E0" w:rsidRDefault="002B79E0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CB48D4" w:rsidRPr="00216504" w14:paraId="42E1CE5C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FEBB" w14:textId="1E2E6DB4" w:rsidR="00CB48D4" w:rsidRDefault="00DC1EB2" w:rsidP="00CB48D4">
            <w:pPr>
              <w:spacing w:line="252" w:lineRule="auto"/>
            </w:pPr>
            <w:hyperlink r:id="rId49" w:history="1">
              <w:r w:rsidR="00CB48D4" w:rsidRPr="00216504">
                <w:rPr>
                  <w:rStyle w:val="Hyperlink"/>
                  <w:color w:val="auto"/>
                  <w:sz w:val="24"/>
                  <w:szCs w:val="24"/>
                </w:rPr>
                <w:t>MRC Centre of Research Excellence round two</w:t>
              </w:r>
            </w:hyperlink>
          </w:p>
        </w:tc>
        <w:tc>
          <w:tcPr>
            <w:tcW w:w="1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012E4" w14:textId="77777777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8F31" w14:textId="76336662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216504">
              <w:rPr>
                <w:sz w:val="24"/>
                <w:szCs w:val="24"/>
              </w:rPr>
              <w:t>Sep 24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26E4" w14:textId="2CEBAF32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16504">
              <w:rPr>
                <w:sz w:val="24"/>
                <w:szCs w:val="24"/>
              </w:rPr>
              <w:t xml:space="preserve">14 </w:t>
            </w:r>
            <w:proofErr w:type="spellStart"/>
            <w:r w:rsidRPr="00216504"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B55F" w14:textId="68ACD2B9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 w:rsidRPr="00216504">
              <w:rPr>
                <w:sz w:val="24"/>
                <w:szCs w:val="24"/>
                <w:lang w:eastAsia="en-GB"/>
              </w:rPr>
              <w:t xml:space="preserve">£50M </w:t>
            </w:r>
          </w:p>
        </w:tc>
      </w:tr>
      <w:tr w:rsidR="00CB48D4" w:rsidRPr="00216504" w14:paraId="6F917C58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0AEB" w14:textId="4FCA0ACA" w:rsidR="00CB48D4" w:rsidRPr="00ED4D45" w:rsidRDefault="00DC1EB2" w:rsidP="00CB48D4">
            <w:pPr>
              <w:spacing w:line="252" w:lineRule="auto"/>
            </w:pPr>
            <w:hyperlink r:id="rId50" w:history="1">
              <w:r w:rsidR="00CB48D4" w:rsidRPr="00ED4D45">
                <w:rPr>
                  <w:rStyle w:val="Hyperlink"/>
                  <w:color w:val="auto"/>
                </w:rPr>
                <w:t>Applied Global Health Research and Partnership Grants</w:t>
              </w:r>
            </w:hyperlink>
          </w:p>
        </w:tc>
        <w:tc>
          <w:tcPr>
            <w:tcW w:w="1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08E75" w14:textId="395F96B3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FFB9" w14:textId="7635DC30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Jan 25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3CDD" w14:textId="3BACC10D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 to 5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D043" w14:textId="308C1546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£150k-£1m</w:t>
            </w:r>
          </w:p>
        </w:tc>
      </w:tr>
      <w:tr w:rsidR="00CB48D4" w:rsidRPr="00216504" w14:paraId="7EFB3354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C7C3" w14:textId="77777777" w:rsidR="00CB48D4" w:rsidRPr="00216504" w:rsidRDefault="00CB48D4" w:rsidP="00CB48D4">
            <w:pPr>
              <w:spacing w:line="252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olor w:val="FFFFFF" w:themeColor="background1"/>
                <w:sz w:val="24"/>
                <w:szCs w:val="24"/>
              </w:rPr>
              <w:t>NERC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4C3E80E5" w14:textId="77777777" w:rsidR="00CB48D4" w:rsidRPr="00216504" w:rsidRDefault="00CB48D4" w:rsidP="00CB48D4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EoI DeaDLINE </w:t>
            </w:r>
          </w:p>
        </w:tc>
        <w:tc>
          <w:tcPr>
            <w:tcW w:w="13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14E3B11A" w14:textId="77777777" w:rsidR="00CB48D4" w:rsidRPr="00216504" w:rsidRDefault="00CB48D4" w:rsidP="00CB48D4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Deadline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7E0DF919" w14:textId="77777777" w:rsidR="00CB48D4" w:rsidRPr="00216504" w:rsidRDefault="00CB48D4" w:rsidP="00CB48D4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Term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791A3F4C" w14:textId="77777777" w:rsidR="00CB48D4" w:rsidRPr="00216504" w:rsidRDefault="00CB48D4" w:rsidP="00CB48D4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Funding</w:t>
            </w:r>
          </w:p>
        </w:tc>
      </w:tr>
      <w:tr w:rsidR="00CB48D4" w:rsidRPr="00216504" w14:paraId="067E2E7B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A6FA" w14:textId="205BD43D" w:rsidR="00CB48D4" w:rsidRPr="00D36F86" w:rsidRDefault="00DC1EB2" w:rsidP="00CB48D4">
            <w:pPr>
              <w:spacing w:line="252" w:lineRule="auto"/>
            </w:pPr>
            <w:hyperlink r:id="rId51" w:history="1">
              <w:r w:rsidR="00CB48D4" w:rsidRPr="00ED4D45">
                <w:rPr>
                  <w:rStyle w:val="Hyperlink"/>
                  <w:color w:val="auto"/>
                </w:rPr>
                <w:t>Maximising UK adaptation to climate change research projects</w:t>
              </w:r>
            </w:hyperlink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747" w14:textId="77777777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B36A" w14:textId="5B18D26B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Jul 24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D6D3" w14:textId="27D4B5C6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2.5yrs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5D61" w14:textId="6FD49606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£2m</w:t>
            </w:r>
          </w:p>
        </w:tc>
      </w:tr>
      <w:tr w:rsidR="00CB48D4" w:rsidRPr="00216504" w14:paraId="7E29543E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BA27" w14:textId="4F19FD15" w:rsidR="00CB48D4" w:rsidRPr="007B6D92" w:rsidRDefault="00DC1EB2" w:rsidP="00CB48D4">
            <w:pPr>
              <w:spacing w:line="252" w:lineRule="auto"/>
            </w:pPr>
            <w:hyperlink r:id="rId52" w:history="1">
              <w:r w:rsidR="00CB48D4" w:rsidRPr="007B6D92">
                <w:rPr>
                  <w:rStyle w:val="Hyperlink"/>
                  <w:color w:val="auto"/>
                </w:rPr>
                <w:t>Doctoral Focal Awards in the Environmental Sciences</w:t>
              </w:r>
            </w:hyperlink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29B5" w14:textId="23252E2A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DFCB" w14:textId="29D992D6" w:rsidR="00CB48D4" w:rsidRPr="0021650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Jul 24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53D2" w14:textId="6673730B" w:rsidR="00CB48D4" w:rsidRPr="0021650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A0C5" w14:textId="7DCB6DE0" w:rsidR="00CB48D4" w:rsidRPr="00216504" w:rsidRDefault="00CB48D4" w:rsidP="00CB48D4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£2.86m</w:t>
            </w:r>
          </w:p>
        </w:tc>
      </w:tr>
      <w:tr w:rsidR="00CB48D4" w:rsidRPr="00216504" w14:paraId="4ACAE8AC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47CA" w14:textId="39AA2C18" w:rsidR="00CB48D4" w:rsidRPr="007243CE" w:rsidRDefault="00DC1EB2" w:rsidP="00CB48D4">
            <w:pPr>
              <w:spacing w:line="252" w:lineRule="auto"/>
            </w:pPr>
            <w:hyperlink r:id="rId53" w:history="1">
              <w:r w:rsidR="00CB48D4" w:rsidRPr="007243CE">
                <w:rPr>
                  <w:rStyle w:val="Hyperlink"/>
                  <w:color w:val="auto"/>
                </w:rPr>
                <w:t>Addressing Environmental Challenges: NERC highlight topics 2024</w:t>
              </w:r>
            </w:hyperlink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F9E" w14:textId="77777777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5511" w14:textId="3695B8E5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Oct 24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50C2" w14:textId="749F6568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4yrs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E563" w14:textId="392B2FE4" w:rsidR="00CB48D4" w:rsidRDefault="00CB48D4" w:rsidP="00CB48D4">
            <w:pPr>
              <w:spacing w:line="252" w:lineRule="auto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£2.35m -£4.7m</w:t>
            </w:r>
          </w:p>
        </w:tc>
      </w:tr>
      <w:tr w:rsidR="00F33436" w:rsidRPr="00216504" w14:paraId="459C5CB1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2053" w14:textId="77777777" w:rsidR="00F33436" w:rsidRPr="008B6B6A" w:rsidRDefault="00F3343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B6B6A">
              <w:rPr>
                <w:b/>
                <w:bCs/>
                <w:sz w:val="24"/>
                <w:szCs w:val="24"/>
              </w:rPr>
              <w:t>STFC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371EF036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EoI DeaDLINE 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38F21C36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Deadline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3B31203B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Term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hideMark/>
          </w:tcPr>
          <w:p w14:paraId="66AE3E63" w14:textId="77777777" w:rsidR="00F33436" w:rsidRPr="00216504" w:rsidRDefault="00F33436">
            <w:pPr>
              <w:spacing w:line="25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1650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Funding</w:t>
            </w:r>
          </w:p>
        </w:tc>
      </w:tr>
      <w:tr w:rsidR="00A16299" w:rsidRPr="00216504" w14:paraId="045A145C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61B9" w14:textId="6847FC97" w:rsidR="00A16299" w:rsidRPr="00A16299" w:rsidRDefault="00A16299" w:rsidP="00A16299">
            <w:pPr>
              <w:spacing w:line="252" w:lineRule="auto"/>
            </w:pPr>
            <w:hyperlink r:id="rId54" w:history="1">
              <w:r w:rsidRPr="00207BD5">
                <w:rPr>
                  <w:rStyle w:val="Hyperlink"/>
                  <w:color w:val="auto"/>
                </w:rPr>
                <w:t>Public Engagement with STFC Science, Technology and Facilities - Legacy Awards</w:t>
              </w:r>
            </w:hyperlink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5DA8A" w14:textId="77777777" w:rsidR="00A16299" w:rsidRPr="00216504" w:rsidRDefault="00A16299" w:rsidP="00A16299">
            <w:pPr>
              <w:spacing w:line="252" w:lineRule="auto"/>
              <w:jc w:val="center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D9C00" w14:textId="18DDC84F" w:rsidR="00A16299" w:rsidRPr="00216504" w:rsidRDefault="00A16299" w:rsidP="00A16299">
            <w:pPr>
              <w:spacing w:line="252" w:lineRule="auto"/>
              <w:jc w:val="center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27 Jun 24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68ADC" w14:textId="0F5A4728" w:rsidR="00A16299" w:rsidRPr="00216504" w:rsidRDefault="00A16299" w:rsidP="00A16299">
            <w:pPr>
              <w:spacing w:line="252" w:lineRule="auto"/>
              <w:jc w:val="center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9F21C" w14:textId="156895D0" w:rsidR="00A16299" w:rsidRPr="00216504" w:rsidRDefault="00A16299" w:rsidP="00A16299">
            <w:pPr>
              <w:spacing w:line="252" w:lineRule="auto"/>
              <w:jc w:val="center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£62.5k</w:t>
            </w:r>
          </w:p>
        </w:tc>
      </w:tr>
      <w:tr w:rsidR="004A1D9E" w:rsidRPr="00216504" w14:paraId="76E8C1C2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07F1" w14:textId="7765DEA3" w:rsidR="004A1D9E" w:rsidRPr="004A1D9E" w:rsidRDefault="00DC1EB2" w:rsidP="004A1D9E">
            <w:pPr>
              <w:spacing w:line="252" w:lineRule="auto"/>
              <w:rPr>
                <w:sz w:val="24"/>
                <w:szCs w:val="24"/>
              </w:rPr>
            </w:pPr>
            <w:hyperlink r:id="rId55" w:history="1">
              <w:r w:rsidR="00CB4354">
                <w:rPr>
                  <w:rStyle w:val="Hyperlink"/>
                  <w:color w:val="auto"/>
                  <w:sz w:val="24"/>
                  <w:szCs w:val="24"/>
                </w:rPr>
                <w:t>Gravitational Waves Consolidated Research Grants</w:t>
              </w:r>
            </w:hyperlink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38995" w14:textId="55511D4F" w:rsidR="004A1D9E" w:rsidRPr="004A1D9E" w:rsidRDefault="004A1D9E" w:rsidP="004A1D9E">
            <w:pPr>
              <w:jc w:val="center"/>
              <w:rPr>
                <w:sz w:val="24"/>
                <w:szCs w:val="24"/>
              </w:rPr>
            </w:pPr>
            <w:r w:rsidRPr="004A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F495E" w14:textId="77777777" w:rsidR="00487FF0" w:rsidRDefault="00487FF0" w:rsidP="004A1D9E">
            <w:pPr>
              <w:jc w:val="center"/>
              <w:rPr>
                <w:sz w:val="24"/>
                <w:szCs w:val="24"/>
              </w:rPr>
            </w:pPr>
          </w:p>
          <w:p w14:paraId="3F71FB96" w14:textId="670A9266" w:rsidR="004A1D9E" w:rsidRPr="004A1D9E" w:rsidRDefault="004A1D9E" w:rsidP="004A1D9E">
            <w:pPr>
              <w:jc w:val="center"/>
              <w:rPr>
                <w:sz w:val="24"/>
                <w:szCs w:val="24"/>
              </w:rPr>
            </w:pPr>
            <w:r w:rsidRPr="004A1D9E">
              <w:rPr>
                <w:sz w:val="24"/>
                <w:szCs w:val="24"/>
              </w:rPr>
              <w:t xml:space="preserve">6 Aug 24 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40C21" w14:textId="77777777" w:rsidR="00487FF0" w:rsidRDefault="00487FF0" w:rsidP="004A1D9E">
            <w:pPr>
              <w:jc w:val="center"/>
              <w:rPr>
                <w:sz w:val="24"/>
                <w:szCs w:val="24"/>
              </w:rPr>
            </w:pPr>
          </w:p>
          <w:p w14:paraId="12CD76E5" w14:textId="48CE6DB8" w:rsidR="004A1D9E" w:rsidRPr="004A1D9E" w:rsidRDefault="004A1D9E" w:rsidP="004A1D9E">
            <w:pPr>
              <w:jc w:val="center"/>
              <w:rPr>
                <w:sz w:val="24"/>
                <w:szCs w:val="24"/>
              </w:rPr>
            </w:pPr>
            <w:r w:rsidRPr="004A1D9E">
              <w:rPr>
                <w:sz w:val="24"/>
                <w:szCs w:val="24"/>
              </w:rPr>
              <w:t xml:space="preserve">3 </w:t>
            </w:r>
            <w:proofErr w:type="spellStart"/>
            <w:r w:rsidRPr="004A1D9E"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7C8E0" w14:textId="77777777" w:rsidR="00487FF0" w:rsidRDefault="00487FF0" w:rsidP="004A1D9E">
            <w:pPr>
              <w:jc w:val="center"/>
              <w:rPr>
                <w:sz w:val="24"/>
                <w:szCs w:val="24"/>
              </w:rPr>
            </w:pPr>
          </w:p>
          <w:p w14:paraId="6F56FB04" w14:textId="5D62111F" w:rsidR="004A1D9E" w:rsidRPr="004A1D9E" w:rsidRDefault="004A1D9E" w:rsidP="004A1D9E">
            <w:pPr>
              <w:jc w:val="center"/>
              <w:rPr>
                <w:sz w:val="24"/>
                <w:szCs w:val="24"/>
              </w:rPr>
            </w:pPr>
            <w:r w:rsidRPr="004A1D9E">
              <w:rPr>
                <w:sz w:val="24"/>
                <w:szCs w:val="24"/>
              </w:rPr>
              <w:t>£10m</w:t>
            </w:r>
          </w:p>
        </w:tc>
      </w:tr>
      <w:tr w:rsidR="00653145" w:rsidRPr="00216504" w14:paraId="23316E8F" w14:textId="77777777" w:rsidTr="00DC1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A5A2" w14:textId="73652C24" w:rsidR="00653145" w:rsidRDefault="00A16299" w:rsidP="004A1D9E">
            <w:pPr>
              <w:spacing w:line="252" w:lineRule="auto"/>
            </w:pPr>
            <w:hyperlink r:id="rId56" w:history="1">
              <w:r w:rsidRPr="00A16299">
                <w:rPr>
                  <w:rStyle w:val="Hyperlink"/>
                  <w:color w:val="auto"/>
                </w:rPr>
                <w:t>UK-Canada quantum for science research collaborations</w:t>
              </w:r>
            </w:hyperlink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DD766" w14:textId="77777777" w:rsidR="00653145" w:rsidRPr="004A1D9E" w:rsidRDefault="00653145" w:rsidP="004A1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D2997" w14:textId="53CB74E2" w:rsidR="00653145" w:rsidRDefault="00A16299" w:rsidP="004A1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Aug 24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165E9" w14:textId="7654C181" w:rsidR="00653145" w:rsidRDefault="00A16299" w:rsidP="004A1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F969B" w14:textId="65AC02B7" w:rsidR="00653145" w:rsidRDefault="00A16299" w:rsidP="004A1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£500k</w:t>
            </w:r>
          </w:p>
        </w:tc>
      </w:tr>
    </w:tbl>
    <w:p w14:paraId="33945005" w14:textId="77777777" w:rsidR="00653145" w:rsidRPr="00216504" w:rsidRDefault="00653145" w:rsidP="00653145">
      <w:pPr>
        <w:rPr>
          <w:sz w:val="24"/>
          <w:szCs w:val="24"/>
        </w:rPr>
      </w:pPr>
    </w:p>
    <w:sectPr w:rsidR="00653145" w:rsidRPr="00216504">
      <w:foot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FF8DA" w14:textId="77777777" w:rsidR="00313625" w:rsidRDefault="00313625" w:rsidP="00010311">
      <w:r>
        <w:separator/>
      </w:r>
    </w:p>
  </w:endnote>
  <w:endnote w:type="continuationSeparator" w:id="0">
    <w:p w14:paraId="67B3BCBC" w14:textId="77777777" w:rsidR="00313625" w:rsidRDefault="00313625" w:rsidP="000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5800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82339" w14:textId="56C34AAE" w:rsidR="00010311" w:rsidRDefault="000103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1FE379" w14:textId="77777777" w:rsidR="00010311" w:rsidRDefault="00010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22A84" w14:textId="77777777" w:rsidR="00313625" w:rsidRDefault="00313625" w:rsidP="00010311">
      <w:r>
        <w:separator/>
      </w:r>
    </w:p>
  </w:footnote>
  <w:footnote w:type="continuationSeparator" w:id="0">
    <w:p w14:paraId="2A599459" w14:textId="77777777" w:rsidR="00313625" w:rsidRDefault="00313625" w:rsidP="000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C44D82"/>
    <w:multiLevelType w:val="hybridMultilevel"/>
    <w:tmpl w:val="8932B258"/>
    <w:lvl w:ilvl="0" w:tplc="794602FA">
      <w:start w:val="20"/>
      <w:numFmt w:val="bullet"/>
      <w:lvlText w:val="-"/>
      <w:lvlJc w:val="left"/>
      <w:pPr>
        <w:ind w:left="720" w:hanging="360"/>
      </w:pPr>
      <w:rPr>
        <w:rFonts w:ascii="Arial Nova" w:eastAsia="Calibri" w:hAnsi="Arial Nov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2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43"/>
    <w:rsid w:val="00010311"/>
    <w:rsid w:val="00014F56"/>
    <w:rsid w:val="00015DE9"/>
    <w:rsid w:val="0003118E"/>
    <w:rsid w:val="00042676"/>
    <w:rsid w:val="00062A72"/>
    <w:rsid w:val="00066ABB"/>
    <w:rsid w:val="00096B01"/>
    <w:rsid w:val="000B3CE2"/>
    <w:rsid w:val="000B45F9"/>
    <w:rsid w:val="000E7824"/>
    <w:rsid w:val="000E7E43"/>
    <w:rsid w:val="000F7911"/>
    <w:rsid w:val="00102148"/>
    <w:rsid w:val="0015023F"/>
    <w:rsid w:val="00173C6D"/>
    <w:rsid w:val="00175E8A"/>
    <w:rsid w:val="00187FA7"/>
    <w:rsid w:val="001D1A66"/>
    <w:rsid w:val="001D5A75"/>
    <w:rsid w:val="001F0F1B"/>
    <w:rsid w:val="002073AE"/>
    <w:rsid w:val="00207829"/>
    <w:rsid w:val="00207BD5"/>
    <w:rsid w:val="0021541D"/>
    <w:rsid w:val="00216504"/>
    <w:rsid w:val="002331A4"/>
    <w:rsid w:val="00261E78"/>
    <w:rsid w:val="00277847"/>
    <w:rsid w:val="00292DB5"/>
    <w:rsid w:val="002B79E0"/>
    <w:rsid w:val="00300235"/>
    <w:rsid w:val="00313625"/>
    <w:rsid w:val="00325073"/>
    <w:rsid w:val="00326154"/>
    <w:rsid w:val="0034006B"/>
    <w:rsid w:val="003442EC"/>
    <w:rsid w:val="00354739"/>
    <w:rsid w:val="00355956"/>
    <w:rsid w:val="0036105B"/>
    <w:rsid w:val="003654DD"/>
    <w:rsid w:val="00422269"/>
    <w:rsid w:val="00487FF0"/>
    <w:rsid w:val="00494422"/>
    <w:rsid w:val="004A1D9E"/>
    <w:rsid w:val="004C72CD"/>
    <w:rsid w:val="00501D3A"/>
    <w:rsid w:val="00536771"/>
    <w:rsid w:val="00540567"/>
    <w:rsid w:val="005576C5"/>
    <w:rsid w:val="005708FE"/>
    <w:rsid w:val="005D30BD"/>
    <w:rsid w:val="006022B2"/>
    <w:rsid w:val="00617D39"/>
    <w:rsid w:val="00624428"/>
    <w:rsid w:val="00653145"/>
    <w:rsid w:val="00663163"/>
    <w:rsid w:val="00674877"/>
    <w:rsid w:val="00675917"/>
    <w:rsid w:val="00684EA8"/>
    <w:rsid w:val="006A57F3"/>
    <w:rsid w:val="006B1A4B"/>
    <w:rsid w:val="006C5BEC"/>
    <w:rsid w:val="006D728A"/>
    <w:rsid w:val="006D7F01"/>
    <w:rsid w:val="006E111A"/>
    <w:rsid w:val="00703F15"/>
    <w:rsid w:val="00715AA3"/>
    <w:rsid w:val="007243CE"/>
    <w:rsid w:val="007257A1"/>
    <w:rsid w:val="00736CCE"/>
    <w:rsid w:val="007570FB"/>
    <w:rsid w:val="00761E44"/>
    <w:rsid w:val="00766C12"/>
    <w:rsid w:val="007B6D92"/>
    <w:rsid w:val="007D4EAF"/>
    <w:rsid w:val="007F1E60"/>
    <w:rsid w:val="00801F18"/>
    <w:rsid w:val="00807D10"/>
    <w:rsid w:val="008550C0"/>
    <w:rsid w:val="00885EA3"/>
    <w:rsid w:val="00887EE0"/>
    <w:rsid w:val="0089091C"/>
    <w:rsid w:val="00897F92"/>
    <w:rsid w:val="008B49C5"/>
    <w:rsid w:val="008B6B6A"/>
    <w:rsid w:val="008C1A1D"/>
    <w:rsid w:val="00906B9B"/>
    <w:rsid w:val="00962D64"/>
    <w:rsid w:val="009730BE"/>
    <w:rsid w:val="00990186"/>
    <w:rsid w:val="009967E5"/>
    <w:rsid w:val="009A2B7E"/>
    <w:rsid w:val="009A7559"/>
    <w:rsid w:val="009B584B"/>
    <w:rsid w:val="00A16299"/>
    <w:rsid w:val="00A238F0"/>
    <w:rsid w:val="00AA1E09"/>
    <w:rsid w:val="00AB088B"/>
    <w:rsid w:val="00AB180B"/>
    <w:rsid w:val="00AE30FF"/>
    <w:rsid w:val="00AE538E"/>
    <w:rsid w:val="00AF48E7"/>
    <w:rsid w:val="00B06BB4"/>
    <w:rsid w:val="00B36EFC"/>
    <w:rsid w:val="00B44885"/>
    <w:rsid w:val="00B80432"/>
    <w:rsid w:val="00BB41C2"/>
    <w:rsid w:val="00BC3018"/>
    <w:rsid w:val="00BE089C"/>
    <w:rsid w:val="00BF6648"/>
    <w:rsid w:val="00C04DC9"/>
    <w:rsid w:val="00C24FB1"/>
    <w:rsid w:val="00C5495C"/>
    <w:rsid w:val="00C54FDA"/>
    <w:rsid w:val="00C73107"/>
    <w:rsid w:val="00C75256"/>
    <w:rsid w:val="00C7608B"/>
    <w:rsid w:val="00CA56B9"/>
    <w:rsid w:val="00CB4354"/>
    <w:rsid w:val="00CB48D4"/>
    <w:rsid w:val="00CD1939"/>
    <w:rsid w:val="00CD6618"/>
    <w:rsid w:val="00CE15D1"/>
    <w:rsid w:val="00D15A4E"/>
    <w:rsid w:val="00D16B9E"/>
    <w:rsid w:val="00D17D8D"/>
    <w:rsid w:val="00D27E94"/>
    <w:rsid w:val="00D36F86"/>
    <w:rsid w:val="00D41602"/>
    <w:rsid w:val="00D67E9A"/>
    <w:rsid w:val="00DA3AD9"/>
    <w:rsid w:val="00DA432F"/>
    <w:rsid w:val="00DA5A9F"/>
    <w:rsid w:val="00DB3593"/>
    <w:rsid w:val="00DC1EB2"/>
    <w:rsid w:val="00DC56C1"/>
    <w:rsid w:val="00DD4CD2"/>
    <w:rsid w:val="00DF35E0"/>
    <w:rsid w:val="00E238FF"/>
    <w:rsid w:val="00E472A8"/>
    <w:rsid w:val="00E47D38"/>
    <w:rsid w:val="00E51AE9"/>
    <w:rsid w:val="00E91BED"/>
    <w:rsid w:val="00EC0BDD"/>
    <w:rsid w:val="00ED3923"/>
    <w:rsid w:val="00ED4D45"/>
    <w:rsid w:val="00EE04B3"/>
    <w:rsid w:val="00EF00A7"/>
    <w:rsid w:val="00F33436"/>
    <w:rsid w:val="00F3741E"/>
    <w:rsid w:val="00FD141C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8D3F"/>
  <w15:docId w15:val="{E25CBC85-C8CD-4272-A72D-B7FFBFD6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E4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E7E43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basedOn w:val="Normal"/>
    <w:uiPriority w:val="1"/>
    <w:qFormat/>
    <w:rsid w:val="000E7E43"/>
  </w:style>
  <w:style w:type="character" w:styleId="CommentReference">
    <w:name w:val="annotation reference"/>
    <w:basedOn w:val="DefaultParagraphFont"/>
    <w:uiPriority w:val="99"/>
    <w:semiHidden/>
    <w:unhideWhenUsed/>
    <w:rsid w:val="000E7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E4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43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7E43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24F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4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10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3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0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31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kri.org/opportunity/core-research-challenges-in-digital-twinning-for-crisis-resilience/" TargetMode="External"/><Relationship Id="rId18" Type="http://schemas.openxmlformats.org/officeDocument/2006/relationships/hyperlink" Target="https://www.ukri.org/opportunity/uk-canada-sustainable-critical-minerals-research-partnerships/" TargetMode="External"/><Relationship Id="rId26" Type="http://schemas.openxmlformats.org/officeDocument/2006/relationships/hyperlink" Target="https://www.ukri.org/opportunity/social-sciences-humanities-and-arts-for-people-and-the-economy-shape-catalyst-round-two/?utm_medium=email&amp;utm_source=govdelivery" TargetMode="External"/><Relationship Id="rId39" Type="http://schemas.openxmlformats.org/officeDocument/2006/relationships/hyperlink" Target="https://www.ukri.org/opportunity/epsrc-network-plus-tomorrows-engineering-research-challenges/" TargetMode="External"/><Relationship Id="rId21" Type="http://schemas.openxmlformats.org/officeDocument/2006/relationships/hyperlink" Target="https://www.ukri.org/events/ukri-cross-research-council-responsive-mode-scheme-webinar-one/" TargetMode="External"/><Relationship Id="rId34" Type="http://schemas.openxmlformats.org/officeDocument/2006/relationships/hyperlink" Target="https://www.ukri.org/opportunity/design-exchange-partnerships-design-the-green-transition-round-3/" TargetMode="External"/><Relationship Id="rId42" Type="http://schemas.openxmlformats.org/officeDocument/2006/relationships/hyperlink" Target="https://www.ukri.org/opportunity/international-centre-to-centre-research-collaborations-outlines/" TargetMode="External"/><Relationship Id="rId47" Type="http://schemas.openxmlformats.org/officeDocument/2006/relationships/hyperlink" Target="https://www.ukri.org/opportunity/fapesp-and-ukri-mrc-artificial-intelligence-ai-for-health/" TargetMode="External"/><Relationship Id="rId50" Type="http://schemas.openxmlformats.org/officeDocument/2006/relationships/hyperlink" Target="https://www.ukri.org/opportunity/applied-global-health-partnership/" TargetMode="External"/><Relationship Id="rId55" Type="http://schemas.openxmlformats.org/officeDocument/2006/relationships/hyperlink" Target="https://www.ukri.org/opportunity/gravitational-waves-consolidated-grants-202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ukri.org/opportunity/bbsrc-new-investigator-award-2024-round-three-responsive-mode/" TargetMode="External"/><Relationship Id="rId29" Type="http://schemas.openxmlformats.org/officeDocument/2006/relationships/hyperlink" Target="https://www.ukri.org/opportunity/braid-responsible-ai-demonstrators/" TargetMode="External"/><Relationship Id="rId11" Type="http://schemas.openxmlformats.org/officeDocument/2006/relationships/hyperlink" Target="https://www.ukri.org/opportunity/uk-future-internet-networkplus/" TargetMode="External"/><Relationship Id="rId24" Type="http://schemas.openxmlformats.org/officeDocument/2006/relationships/hyperlink" Target="https://www.ukri.org/opportunity/ukri-metascience-research-grants/" TargetMode="External"/><Relationship Id="rId32" Type="http://schemas.openxmlformats.org/officeDocument/2006/relationships/hyperlink" Target="https://www.ukri.org/opportunity/support-knowledge-exchange-for-european-humanities-research/" TargetMode="External"/><Relationship Id="rId37" Type="http://schemas.openxmlformats.org/officeDocument/2006/relationships/hyperlink" Target="https://www.ukri.org/opportunity/bbsrc-innovation-to-commercialisation-of-university-research-icure-discover/" TargetMode="External"/><Relationship Id="rId40" Type="http://schemas.openxmlformats.org/officeDocument/2006/relationships/hyperlink" Target="https://www.ukri.org/opportunity/health-technologies-connectivity-awards/" TargetMode="External"/><Relationship Id="rId45" Type="http://schemas.openxmlformats.org/officeDocument/2006/relationships/hyperlink" Target="https://www.ukri.org/opportunity/esrc-responsive-mode-research-grants-round-two/" TargetMode="External"/><Relationship Id="rId53" Type="http://schemas.openxmlformats.org/officeDocument/2006/relationships/hyperlink" Target="https://www.ukri.org/opportunity/addressing-environmental-challenges-nerc-highlight-topics-2024/?utm_medium=email&amp;utm_source=govdelivery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eur03.safelinks.protection.outlook.com/?url=https%3A%2F%2Fwww.ukri.org%2Fevents%2F&amp;data=05%7C01%7Cj.e.snow%40abdn.ac.uk%7C44bd9d152daf4cbe57a008dafc92b549%7C8c2b19ad5f9c49d490773ec3cfc52b3f%7C0%7C0%7C638100004726334177%7CUnknown%7CTWFpbGZsb3d8eyJWIjoiMC4wLjAwMDAiLCJQIjoiV2luMzIiLCJBTiI6Ik1haWwiLCJXVCI6Mn0%3D%7C3000%7C%7C%7C&amp;sdata=VgkO3EuLNp5TaPg4jTiX8H65OZQKUgNxEFmY1xjZrJQ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ukri.org/opportunity/pushing-the-frontiers-of-environmental-research-july-2024/" TargetMode="External"/><Relationship Id="rId22" Type="http://schemas.openxmlformats.org/officeDocument/2006/relationships/hyperlink" Target="https://www.ukri.org/events/ukri-cross-research-council-responsive-mode-scheme-webinar-two/" TargetMode="External"/><Relationship Id="rId27" Type="http://schemas.openxmlformats.org/officeDocument/2006/relationships/hyperlink" Target="https://www.ukri.org/opportunity/ahrc-cultural-heritage-research-translated-into-climate-change-policy/" TargetMode="External"/><Relationship Id="rId30" Type="http://schemas.openxmlformats.org/officeDocument/2006/relationships/hyperlink" Target="https://ukri.zoom.us/webinar/register/WN_xwvn7lA-SI-pgZL4ryMaew" TargetMode="External"/><Relationship Id="rId35" Type="http://schemas.openxmlformats.org/officeDocument/2006/relationships/hyperlink" Target="https://www.ukri.org/opportunity/enhancing-equality-diversity-and-inclusion-in-bbsrc-funded-networks/" TargetMode="External"/><Relationship Id="rId43" Type="http://schemas.openxmlformats.org/officeDocument/2006/relationships/hyperlink" Target="https://www.ukri.org/opportunity/accelerating-research-outcomes-to-deliver-a-prosperous-net-zero/" TargetMode="External"/><Relationship Id="rId48" Type="http://schemas.openxmlformats.org/officeDocument/2006/relationships/hyperlink" Target="https://www.ukri.org/opportunity/funding-for-early-stage-development-of-new-healthcare-interventions/" TargetMode="External"/><Relationship Id="rId56" Type="http://schemas.openxmlformats.org/officeDocument/2006/relationships/hyperlink" Target="https://www.ukri.org/opportunity/uk-canada-quantum-for-science-research-collaborations/" TargetMode="External"/><Relationship Id="rId8" Type="http://schemas.openxmlformats.org/officeDocument/2006/relationships/hyperlink" Target="http://www.abdn.ac.uk/grantsacademy" TargetMode="External"/><Relationship Id="rId51" Type="http://schemas.openxmlformats.org/officeDocument/2006/relationships/hyperlink" Target="https://www.ukri.org/opportunity/maximising-uk-adaptation-to-climate-change-research-projec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ri.zoom.us/j/94983886133" TargetMode="External"/><Relationship Id="rId17" Type="http://schemas.openxmlformats.org/officeDocument/2006/relationships/hyperlink" Target="https://www.ukri.org/opportunity/bbsrc-standard-research-grant-2024-round-3-responsive-mode/" TargetMode="External"/><Relationship Id="rId25" Type="http://schemas.openxmlformats.org/officeDocument/2006/relationships/hyperlink" Target="https://www.ukri.org/opportunity/maximising-uk-adaptation-to-climate-change-research-projects/" TargetMode="External"/><Relationship Id="rId33" Type="http://schemas.openxmlformats.org/officeDocument/2006/relationships/hyperlink" Target="https://www.ukri.org/opportunity/centre-for-law-and-social-justice/" TargetMode="External"/><Relationship Id="rId38" Type="http://schemas.openxmlformats.org/officeDocument/2006/relationships/hyperlink" Target="https://www.ukri.org/opportunity/manufacturing-research-hubs-for-a-sustainable-future-three-outline/" TargetMode="External"/><Relationship Id="rId46" Type="http://schemas.openxmlformats.org/officeDocument/2006/relationships/hyperlink" Target="https://www.ukri.org/opportunity/enhancing-biomedical-and-health-related-data-and-digital-platform-resources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armaconference.com/" TargetMode="External"/><Relationship Id="rId41" Type="http://schemas.openxmlformats.org/officeDocument/2006/relationships/hyperlink" Target="https://www.ukri.org/opportunity/technologies-to-enable-independence-for-people-living-with-dementia/" TargetMode="External"/><Relationship Id="rId54" Type="http://schemas.openxmlformats.org/officeDocument/2006/relationships/hyperlink" Target="https://www.ukri.org/opportunity/public-engagement-legacy-awards-2024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kri.org/opportunity/the-uk-brazil-global-talent-exchange-funding-opportunity-pilot/" TargetMode="External"/><Relationship Id="rId23" Type="http://schemas.openxmlformats.org/officeDocument/2006/relationships/hyperlink" Target="https://www.ukri.org/opportunity/ukri-digital-research-technical-professional-skills-networkplus/" TargetMode="External"/><Relationship Id="rId28" Type="http://schemas.openxmlformats.org/officeDocument/2006/relationships/hyperlink" Target="https://www.ukri.org/opportunity/ahrc-community-led-heritage-research-and-skills-hub/?utm_medium=email&amp;utm_source=govdelivery" TargetMode="External"/><Relationship Id="rId36" Type="http://schemas.openxmlformats.org/officeDocument/2006/relationships/hyperlink" Target="https://www.ukri.org/opportunity/bbsrc-innovation-to-commercialisation-of-university-research-icure-explore/" TargetMode="External"/><Relationship Id="rId49" Type="http://schemas.openxmlformats.org/officeDocument/2006/relationships/hyperlink" Target="https://www.ukri.org/opportunity/mrc-centre-of-research-excellence-round-two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ukri.org/opportunity/engineering-healthier-environments-micro-network-and-micro-network-plus/" TargetMode="External"/><Relationship Id="rId31" Type="http://schemas.openxmlformats.org/officeDocument/2006/relationships/hyperlink" Target="https://www.ukri.org/opportunity/design-accelerators-round-three/" TargetMode="External"/><Relationship Id="rId44" Type="http://schemas.openxmlformats.org/officeDocument/2006/relationships/hyperlink" Target="https://www.ukri.org/opportunity/sustainable-industrial-futures/" TargetMode="External"/><Relationship Id="rId52" Type="http://schemas.openxmlformats.org/officeDocument/2006/relationships/hyperlink" Target="https://www.ukri.org/opportunity/doctoral-focal-awards-in-the-environmental-sciences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14A8-5C11-4B76-97E0-3CB8F38A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Mcgavigan, Anne</dc:creator>
  <cp:keywords/>
  <dc:description/>
  <cp:lastModifiedBy>Cooper, Gillian Anne</cp:lastModifiedBy>
  <cp:revision>3</cp:revision>
  <dcterms:created xsi:type="dcterms:W3CDTF">2024-06-21T11:28:00Z</dcterms:created>
  <dcterms:modified xsi:type="dcterms:W3CDTF">2024-06-21T13:40:00Z</dcterms:modified>
</cp:coreProperties>
</file>