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C1B1F" w14:textId="326B38ED" w:rsidR="009311F1" w:rsidRPr="000E77B9" w:rsidRDefault="006507C8">
      <w:pPr>
        <w:rPr>
          <w:sz w:val="28"/>
          <w:szCs w:val="28"/>
        </w:rPr>
      </w:pPr>
      <w:r w:rsidRPr="000E77B9">
        <w:rPr>
          <w:sz w:val="28"/>
          <w:szCs w:val="28"/>
        </w:rPr>
        <w:t>University Statement:</w:t>
      </w:r>
    </w:p>
    <w:p w14:paraId="391C9821" w14:textId="067588CE" w:rsidR="00DA4169" w:rsidRDefault="006507C8">
      <w:pPr>
        <w:rPr>
          <w:b/>
          <w:bCs/>
          <w:sz w:val="28"/>
          <w:szCs w:val="28"/>
        </w:rPr>
      </w:pPr>
      <w:r w:rsidRPr="006507C8">
        <w:rPr>
          <w:b/>
          <w:bCs/>
          <w:sz w:val="28"/>
          <w:szCs w:val="28"/>
        </w:rPr>
        <w:t>Implementation Timeline</w:t>
      </w:r>
      <w:r w:rsidR="00C659A8">
        <w:rPr>
          <w:b/>
          <w:bCs/>
          <w:sz w:val="28"/>
          <w:szCs w:val="28"/>
        </w:rPr>
        <w:t xml:space="preserve"> </w:t>
      </w:r>
      <w:r w:rsidR="00DB55FA">
        <w:rPr>
          <w:b/>
          <w:bCs/>
          <w:sz w:val="28"/>
          <w:szCs w:val="28"/>
        </w:rPr>
        <w:t>–</w:t>
      </w:r>
      <w:r w:rsidR="00C659A8">
        <w:rPr>
          <w:b/>
          <w:bCs/>
          <w:sz w:val="28"/>
          <w:szCs w:val="28"/>
        </w:rPr>
        <w:t xml:space="preserve"> Update</w:t>
      </w:r>
      <w:r w:rsidR="004C4894">
        <w:rPr>
          <w:b/>
          <w:bCs/>
          <w:sz w:val="28"/>
          <w:szCs w:val="28"/>
        </w:rPr>
        <w:t xml:space="preserve"> </w:t>
      </w:r>
      <w:r w:rsidR="00DB75C7">
        <w:rPr>
          <w:b/>
          <w:bCs/>
          <w:sz w:val="28"/>
          <w:szCs w:val="28"/>
        </w:rPr>
        <w:t>(</w:t>
      </w:r>
      <w:r w:rsidR="000E35CF">
        <w:rPr>
          <w:b/>
          <w:bCs/>
          <w:sz w:val="28"/>
          <w:szCs w:val="28"/>
        </w:rPr>
        <w:t xml:space="preserve">15 </w:t>
      </w:r>
      <w:r w:rsidR="00DB75C7">
        <w:rPr>
          <w:b/>
          <w:bCs/>
          <w:sz w:val="28"/>
          <w:szCs w:val="28"/>
        </w:rPr>
        <w:t>October</w:t>
      </w:r>
      <w:r w:rsidR="004C4894">
        <w:rPr>
          <w:b/>
          <w:bCs/>
          <w:sz w:val="28"/>
          <w:szCs w:val="28"/>
        </w:rPr>
        <w:t xml:space="preserve"> 2024)</w:t>
      </w:r>
    </w:p>
    <w:p w14:paraId="6454CD2A" w14:textId="77777777" w:rsidR="00DB55FA" w:rsidRDefault="00DB55FA">
      <w:pPr>
        <w:rPr>
          <w:b/>
          <w:bCs/>
          <w:sz w:val="28"/>
          <w:szCs w:val="28"/>
        </w:rPr>
      </w:pPr>
    </w:p>
    <w:tbl>
      <w:tblPr>
        <w:tblStyle w:val="TableGrid"/>
        <w:tblpPr w:leftFromText="180" w:rightFromText="180" w:vertAnchor="text" w:horzAnchor="margin" w:tblpY="369"/>
        <w:tblW w:w="9016" w:type="dxa"/>
        <w:tblLook w:val="04A0" w:firstRow="1" w:lastRow="0" w:firstColumn="1" w:lastColumn="0" w:noHBand="0" w:noVBand="1"/>
      </w:tblPr>
      <w:tblGrid>
        <w:gridCol w:w="2913"/>
        <w:gridCol w:w="2053"/>
        <w:gridCol w:w="1833"/>
        <w:gridCol w:w="2217"/>
      </w:tblGrid>
      <w:tr w:rsidR="00C659A8" w14:paraId="0D0244EB" w14:textId="61D341B0" w:rsidTr="00C659A8">
        <w:trPr>
          <w:trHeight w:val="259"/>
        </w:trPr>
        <w:tc>
          <w:tcPr>
            <w:tcW w:w="2913" w:type="dxa"/>
          </w:tcPr>
          <w:p w14:paraId="629D866C" w14:textId="4A9E1381" w:rsidR="00C659A8" w:rsidRPr="00DA4169" w:rsidRDefault="00C659A8" w:rsidP="00DA4169">
            <w:pPr>
              <w:rPr>
                <w:b/>
                <w:bCs/>
              </w:rPr>
            </w:pPr>
            <w:r w:rsidRPr="00DA4169">
              <w:rPr>
                <w:b/>
                <w:bCs/>
              </w:rPr>
              <w:t>Actions</w:t>
            </w:r>
          </w:p>
        </w:tc>
        <w:tc>
          <w:tcPr>
            <w:tcW w:w="2053" w:type="dxa"/>
          </w:tcPr>
          <w:p w14:paraId="503ACEFA" w14:textId="402F1848" w:rsidR="00C659A8" w:rsidRPr="00DA4169" w:rsidRDefault="00C659A8" w:rsidP="00DA4169">
            <w:pPr>
              <w:rPr>
                <w:b/>
                <w:bCs/>
              </w:rPr>
            </w:pPr>
            <w:r w:rsidRPr="00DA4169">
              <w:rPr>
                <w:b/>
                <w:bCs/>
              </w:rPr>
              <w:t>Who</w:t>
            </w:r>
          </w:p>
        </w:tc>
        <w:tc>
          <w:tcPr>
            <w:tcW w:w="1833" w:type="dxa"/>
          </w:tcPr>
          <w:p w14:paraId="7B231C51" w14:textId="34E82DC6" w:rsidR="00C659A8" w:rsidRPr="00DA4169" w:rsidRDefault="00C659A8" w:rsidP="00DA4169">
            <w:pPr>
              <w:rPr>
                <w:b/>
                <w:bCs/>
              </w:rPr>
            </w:pPr>
            <w:r w:rsidRPr="00DA4169">
              <w:rPr>
                <w:b/>
                <w:bCs/>
              </w:rPr>
              <w:t>When</w:t>
            </w:r>
          </w:p>
        </w:tc>
        <w:tc>
          <w:tcPr>
            <w:tcW w:w="2217" w:type="dxa"/>
          </w:tcPr>
          <w:p w14:paraId="008BE6E4" w14:textId="003FCFE4" w:rsidR="00C659A8" w:rsidRPr="00DA4169" w:rsidRDefault="00C659A8" w:rsidP="00DA4169">
            <w:pPr>
              <w:rPr>
                <w:b/>
                <w:bCs/>
              </w:rPr>
            </w:pPr>
            <w:r>
              <w:rPr>
                <w:b/>
                <w:bCs/>
              </w:rPr>
              <w:t>Progress</w:t>
            </w:r>
          </w:p>
        </w:tc>
      </w:tr>
      <w:tr w:rsidR="00C659A8" w14:paraId="5608CA5F" w14:textId="1225662A" w:rsidTr="00C659A8">
        <w:trPr>
          <w:trHeight w:val="519"/>
        </w:trPr>
        <w:tc>
          <w:tcPr>
            <w:tcW w:w="2913" w:type="dxa"/>
          </w:tcPr>
          <w:p w14:paraId="2B1A97A8" w14:textId="00B179E2" w:rsidR="00C659A8" w:rsidRPr="00DA4169" w:rsidRDefault="00C659A8" w:rsidP="00DA4169">
            <w:pPr>
              <w:pStyle w:val="ListParagraph"/>
              <w:numPr>
                <w:ilvl w:val="0"/>
                <w:numId w:val="2"/>
              </w:numPr>
            </w:pPr>
            <w:r w:rsidRPr="00DA4169">
              <w:t>Briefing on Assemblies</w:t>
            </w:r>
          </w:p>
        </w:tc>
        <w:tc>
          <w:tcPr>
            <w:tcW w:w="2053" w:type="dxa"/>
          </w:tcPr>
          <w:p w14:paraId="3638C8EC" w14:textId="0C25C11C" w:rsidR="00C659A8" w:rsidRPr="00DA4169" w:rsidRDefault="00C659A8" w:rsidP="00DA4169">
            <w:r w:rsidRPr="00DA4169">
              <w:t>Tavis Potts/Fraser Lovie</w:t>
            </w:r>
          </w:p>
        </w:tc>
        <w:tc>
          <w:tcPr>
            <w:tcW w:w="1833" w:type="dxa"/>
          </w:tcPr>
          <w:p w14:paraId="1B16F111" w14:textId="77777777" w:rsidR="00C659A8" w:rsidRPr="00DA4169" w:rsidRDefault="00C659A8" w:rsidP="00DA4169">
            <w:r w:rsidRPr="00DA4169">
              <w:t>1pm 17/6/24</w:t>
            </w:r>
          </w:p>
          <w:p w14:paraId="3B80C4C0" w14:textId="63949DCA" w:rsidR="00C659A8" w:rsidRPr="00DA4169" w:rsidRDefault="00C659A8" w:rsidP="00DA4169"/>
        </w:tc>
        <w:tc>
          <w:tcPr>
            <w:tcW w:w="2217" w:type="dxa"/>
          </w:tcPr>
          <w:p w14:paraId="3FCD089D" w14:textId="70A77732" w:rsidR="00C659A8" w:rsidRPr="00C659A8" w:rsidRDefault="00C659A8" w:rsidP="00DA4169">
            <w:pPr>
              <w:rPr>
                <w:b/>
                <w:bCs/>
                <w:i/>
                <w:iCs/>
              </w:rPr>
            </w:pPr>
            <w:r w:rsidRPr="00C659A8">
              <w:rPr>
                <w:b/>
                <w:bCs/>
                <w:i/>
                <w:iCs/>
              </w:rPr>
              <w:t>Complete</w:t>
            </w:r>
          </w:p>
        </w:tc>
      </w:tr>
      <w:tr w:rsidR="00C659A8" w14:paraId="21C35397" w14:textId="37D04C95" w:rsidTr="00C659A8">
        <w:trPr>
          <w:trHeight w:val="788"/>
        </w:trPr>
        <w:tc>
          <w:tcPr>
            <w:tcW w:w="2913" w:type="dxa"/>
          </w:tcPr>
          <w:p w14:paraId="2A488970" w14:textId="54728934" w:rsidR="00C659A8" w:rsidRPr="00DA4169" w:rsidRDefault="00C659A8" w:rsidP="00DA4169">
            <w:pPr>
              <w:pStyle w:val="ListParagraph"/>
              <w:numPr>
                <w:ilvl w:val="0"/>
                <w:numId w:val="2"/>
              </w:numPr>
            </w:pPr>
            <w:r w:rsidRPr="00DA4169">
              <w:t>Agreement on first ESG topic for the Assembly</w:t>
            </w:r>
            <w:r>
              <w:t>, size, d</w:t>
            </w:r>
            <w:r w:rsidRPr="00DA4169">
              <w:t>ate etc.</w:t>
            </w:r>
          </w:p>
        </w:tc>
        <w:tc>
          <w:tcPr>
            <w:tcW w:w="2053" w:type="dxa"/>
          </w:tcPr>
          <w:p w14:paraId="3BCD48E2" w14:textId="56ABB695" w:rsidR="00C659A8" w:rsidRPr="00DA4169" w:rsidRDefault="00C659A8" w:rsidP="00DA4169">
            <w:r w:rsidRPr="00DA4169">
              <w:t>Tracey Slaven</w:t>
            </w:r>
          </w:p>
        </w:tc>
        <w:tc>
          <w:tcPr>
            <w:tcW w:w="1833" w:type="dxa"/>
          </w:tcPr>
          <w:p w14:paraId="4D71CC9C" w14:textId="4C23C8BD" w:rsidR="00C659A8" w:rsidRPr="00DA4169" w:rsidRDefault="00C659A8" w:rsidP="00DA4169">
            <w:r>
              <w:t>Wk of 1/7/</w:t>
            </w:r>
            <w:r w:rsidRPr="00DA4169">
              <w:t>24</w:t>
            </w:r>
          </w:p>
        </w:tc>
        <w:tc>
          <w:tcPr>
            <w:tcW w:w="2217" w:type="dxa"/>
          </w:tcPr>
          <w:p w14:paraId="678826C2" w14:textId="77777777" w:rsidR="00C659A8" w:rsidRPr="00C659A8" w:rsidRDefault="00C659A8" w:rsidP="00DA4169">
            <w:pPr>
              <w:rPr>
                <w:b/>
                <w:bCs/>
                <w:i/>
                <w:iCs/>
              </w:rPr>
            </w:pPr>
            <w:r w:rsidRPr="00C659A8">
              <w:rPr>
                <w:b/>
                <w:bCs/>
                <w:i/>
                <w:iCs/>
              </w:rPr>
              <w:t xml:space="preserve">Agreed  </w:t>
            </w:r>
          </w:p>
          <w:p w14:paraId="4D16D4AF" w14:textId="651430F7" w:rsidR="00C659A8" w:rsidRDefault="00C659A8" w:rsidP="00DA4169">
            <w:r>
              <w:t>“How can the University respond to international conflict”</w:t>
            </w:r>
          </w:p>
        </w:tc>
      </w:tr>
      <w:tr w:rsidR="00C659A8" w14:paraId="133FE896" w14:textId="7FEA0E45" w:rsidTr="00C659A8">
        <w:trPr>
          <w:trHeight w:val="269"/>
        </w:trPr>
        <w:tc>
          <w:tcPr>
            <w:tcW w:w="2913" w:type="dxa"/>
          </w:tcPr>
          <w:p w14:paraId="4BF1DCA3" w14:textId="6364185E" w:rsidR="00C659A8" w:rsidRPr="00DA4169" w:rsidRDefault="00C659A8" w:rsidP="00DA4169">
            <w:pPr>
              <w:pStyle w:val="ListParagraph"/>
              <w:numPr>
                <w:ilvl w:val="0"/>
                <w:numId w:val="2"/>
              </w:numPr>
            </w:pPr>
            <w:r w:rsidRPr="00DA4169">
              <w:t>Announcement of Assembly</w:t>
            </w:r>
          </w:p>
        </w:tc>
        <w:tc>
          <w:tcPr>
            <w:tcW w:w="2053" w:type="dxa"/>
          </w:tcPr>
          <w:p w14:paraId="18AA3082" w14:textId="7EDB3B4B" w:rsidR="00C659A8" w:rsidRPr="00DA4169" w:rsidRDefault="00C659A8" w:rsidP="00DA4169">
            <w:r w:rsidRPr="00DA4169">
              <w:t>Tracey</w:t>
            </w:r>
            <w:r>
              <w:t xml:space="preserve"> Slaven</w:t>
            </w:r>
          </w:p>
        </w:tc>
        <w:tc>
          <w:tcPr>
            <w:tcW w:w="1833" w:type="dxa"/>
          </w:tcPr>
          <w:p w14:paraId="5413B627" w14:textId="1634621E" w:rsidR="00C659A8" w:rsidRPr="00DA4169" w:rsidRDefault="00C659A8" w:rsidP="00DA4169">
            <w:r>
              <w:t>Wk of 8</w:t>
            </w:r>
            <w:r w:rsidRPr="00DA4169">
              <w:t>/7/2024</w:t>
            </w:r>
          </w:p>
        </w:tc>
        <w:tc>
          <w:tcPr>
            <w:tcW w:w="2217" w:type="dxa"/>
          </w:tcPr>
          <w:p w14:paraId="40E4836F" w14:textId="5D73F662" w:rsidR="00C659A8" w:rsidRPr="00C659A8" w:rsidRDefault="00C659A8" w:rsidP="00DA4169">
            <w:pPr>
              <w:rPr>
                <w:b/>
                <w:bCs/>
                <w:i/>
                <w:iCs/>
              </w:rPr>
            </w:pPr>
            <w:r w:rsidRPr="00C659A8">
              <w:rPr>
                <w:b/>
                <w:bCs/>
                <w:i/>
                <w:iCs/>
              </w:rPr>
              <w:t>Complete</w:t>
            </w:r>
            <w:r w:rsidR="00DB55FA">
              <w:rPr>
                <w:b/>
                <w:bCs/>
                <w:i/>
                <w:iCs/>
              </w:rPr>
              <w:t>:</w:t>
            </w:r>
          </w:p>
          <w:p w14:paraId="51325EF5" w14:textId="7E0B9DA2" w:rsidR="00C659A8" w:rsidRDefault="00C659A8" w:rsidP="00DA4169">
            <w:r>
              <w:t>4 July 2024</w:t>
            </w:r>
          </w:p>
        </w:tc>
      </w:tr>
      <w:tr w:rsidR="00C659A8" w14:paraId="38EBA040" w14:textId="1471BA71" w:rsidTr="00C659A8">
        <w:trPr>
          <w:trHeight w:val="519"/>
        </w:trPr>
        <w:tc>
          <w:tcPr>
            <w:tcW w:w="6799" w:type="dxa"/>
            <w:gridSpan w:val="3"/>
          </w:tcPr>
          <w:p w14:paraId="76ABD3DC" w14:textId="4B0424E4" w:rsidR="00C659A8" w:rsidRPr="00DA4169" w:rsidRDefault="00C659A8" w:rsidP="00DA4169">
            <w:r w:rsidRPr="00DA4169">
              <w:t>Implementation phase will see design of session, representative audience design etc, invites issued early Autumn.</w:t>
            </w:r>
          </w:p>
        </w:tc>
        <w:tc>
          <w:tcPr>
            <w:tcW w:w="2217" w:type="dxa"/>
          </w:tcPr>
          <w:p w14:paraId="6A0A47EE" w14:textId="77777777" w:rsidR="00C659A8" w:rsidRPr="00DA4169" w:rsidRDefault="00C659A8" w:rsidP="00DA4169"/>
        </w:tc>
      </w:tr>
      <w:tr w:rsidR="00C659A8" w14:paraId="0616F855" w14:textId="27766F39" w:rsidTr="00C659A8">
        <w:trPr>
          <w:trHeight w:val="269"/>
        </w:trPr>
        <w:tc>
          <w:tcPr>
            <w:tcW w:w="2913" w:type="dxa"/>
          </w:tcPr>
          <w:p w14:paraId="30E6858D" w14:textId="1B119E12" w:rsidR="00C659A8" w:rsidRPr="00DA4169" w:rsidRDefault="00C659A8" w:rsidP="00DA4169">
            <w:pPr>
              <w:pStyle w:val="ListParagraph"/>
              <w:numPr>
                <w:ilvl w:val="0"/>
                <w:numId w:val="2"/>
              </w:numPr>
            </w:pPr>
            <w:r>
              <w:t>1</w:t>
            </w:r>
            <w:r w:rsidRPr="00DA4169">
              <w:rPr>
                <w:vertAlign w:val="superscript"/>
              </w:rPr>
              <w:t>st</w:t>
            </w:r>
            <w:r>
              <w:t xml:space="preserve"> </w:t>
            </w:r>
            <w:r w:rsidRPr="00DA4169">
              <w:t xml:space="preserve">Assembly </w:t>
            </w:r>
          </w:p>
        </w:tc>
        <w:tc>
          <w:tcPr>
            <w:tcW w:w="2053" w:type="dxa"/>
          </w:tcPr>
          <w:p w14:paraId="169E50EF" w14:textId="77777777" w:rsidR="00C659A8" w:rsidRPr="00DA4169" w:rsidRDefault="00C659A8" w:rsidP="00DA4169"/>
        </w:tc>
        <w:tc>
          <w:tcPr>
            <w:tcW w:w="1833" w:type="dxa"/>
          </w:tcPr>
          <w:p w14:paraId="5293AB14" w14:textId="26A63294" w:rsidR="00C659A8" w:rsidRPr="00DA4169" w:rsidRDefault="00FF79F4" w:rsidP="00DA4169">
            <w:r>
              <w:t>Late 2024/early 2025</w:t>
            </w:r>
          </w:p>
        </w:tc>
        <w:tc>
          <w:tcPr>
            <w:tcW w:w="2217" w:type="dxa"/>
          </w:tcPr>
          <w:p w14:paraId="4DDD01D6" w14:textId="3D0A40D2" w:rsidR="00C659A8" w:rsidRDefault="00FF79F4" w:rsidP="00DA4169">
            <w:pPr>
              <w:rPr>
                <w:b/>
                <w:bCs/>
                <w:i/>
                <w:iCs/>
              </w:rPr>
            </w:pPr>
            <w:r>
              <w:rPr>
                <w:b/>
                <w:bCs/>
                <w:i/>
                <w:iCs/>
              </w:rPr>
              <w:t>Underway</w:t>
            </w:r>
            <w:r w:rsidR="00C659A8">
              <w:rPr>
                <w:b/>
                <w:bCs/>
                <w:i/>
                <w:iCs/>
              </w:rPr>
              <w:t>:</w:t>
            </w:r>
          </w:p>
          <w:p w14:paraId="0595978E" w14:textId="12170B02" w:rsidR="00DB75C7" w:rsidRPr="00C659A8" w:rsidRDefault="00DB75C7" w:rsidP="00DA4169">
            <w:r>
              <w:t>Arrangements for event underway</w:t>
            </w:r>
          </w:p>
        </w:tc>
      </w:tr>
      <w:tr w:rsidR="00C659A8" w14:paraId="5579F0DB" w14:textId="56E3DEC1" w:rsidTr="00C659A8">
        <w:trPr>
          <w:trHeight w:val="528"/>
        </w:trPr>
        <w:tc>
          <w:tcPr>
            <w:tcW w:w="2913" w:type="dxa"/>
          </w:tcPr>
          <w:p w14:paraId="77249E85" w14:textId="02CBAD4C" w:rsidR="00C659A8" w:rsidRPr="00DA4169" w:rsidRDefault="00C659A8" w:rsidP="00DA4169">
            <w:pPr>
              <w:pStyle w:val="ListParagraph"/>
              <w:numPr>
                <w:ilvl w:val="0"/>
                <w:numId w:val="2"/>
              </w:numPr>
            </w:pPr>
            <w:r>
              <w:t>Report</w:t>
            </w:r>
            <w:r w:rsidR="000050C4">
              <w:t>/</w:t>
            </w:r>
            <w:r>
              <w:t>implementation plan</w:t>
            </w:r>
          </w:p>
        </w:tc>
        <w:tc>
          <w:tcPr>
            <w:tcW w:w="2053" w:type="dxa"/>
          </w:tcPr>
          <w:p w14:paraId="52E2556B" w14:textId="77777777" w:rsidR="00C659A8" w:rsidRPr="00DA4169" w:rsidRDefault="00C659A8" w:rsidP="00DA4169"/>
        </w:tc>
        <w:tc>
          <w:tcPr>
            <w:tcW w:w="1833" w:type="dxa"/>
          </w:tcPr>
          <w:p w14:paraId="4FF3C283" w14:textId="6C3878B4" w:rsidR="00C659A8" w:rsidRPr="00DA4169" w:rsidRDefault="00C659A8" w:rsidP="00DA4169">
            <w:r>
              <w:t>February 2025</w:t>
            </w:r>
          </w:p>
        </w:tc>
        <w:tc>
          <w:tcPr>
            <w:tcW w:w="2217" w:type="dxa"/>
          </w:tcPr>
          <w:p w14:paraId="7EE5667B" w14:textId="77777777" w:rsidR="00C659A8" w:rsidRDefault="00C659A8" w:rsidP="00DA4169"/>
        </w:tc>
      </w:tr>
    </w:tbl>
    <w:p w14:paraId="70BB6A53" w14:textId="70313D5A" w:rsidR="00DA4169" w:rsidRDefault="00DA4169">
      <w:pPr>
        <w:rPr>
          <w:b/>
          <w:bCs/>
          <w:sz w:val="24"/>
          <w:szCs w:val="24"/>
        </w:rPr>
      </w:pPr>
      <w:r w:rsidRPr="00DA4169">
        <w:rPr>
          <w:b/>
          <w:bCs/>
          <w:sz w:val="24"/>
          <w:szCs w:val="24"/>
        </w:rPr>
        <w:t>Citizen Assembly</w:t>
      </w:r>
    </w:p>
    <w:p w14:paraId="198B34A5" w14:textId="77777777" w:rsidR="00DA4169" w:rsidRDefault="00DA4169">
      <w:pPr>
        <w:rPr>
          <w:b/>
          <w:bCs/>
          <w:sz w:val="24"/>
          <w:szCs w:val="24"/>
        </w:rPr>
      </w:pPr>
    </w:p>
    <w:tbl>
      <w:tblPr>
        <w:tblStyle w:val="TableGrid"/>
        <w:tblpPr w:leftFromText="180" w:rightFromText="180" w:vertAnchor="text" w:horzAnchor="margin" w:tblpY="369"/>
        <w:tblW w:w="9016" w:type="dxa"/>
        <w:tblLook w:val="04A0" w:firstRow="1" w:lastRow="0" w:firstColumn="1" w:lastColumn="0" w:noHBand="0" w:noVBand="1"/>
      </w:tblPr>
      <w:tblGrid>
        <w:gridCol w:w="2790"/>
        <w:gridCol w:w="2167"/>
        <w:gridCol w:w="1842"/>
        <w:gridCol w:w="2217"/>
      </w:tblGrid>
      <w:tr w:rsidR="00C659A8" w14:paraId="58B95FC9" w14:textId="159366FA" w:rsidTr="00C659A8">
        <w:trPr>
          <w:trHeight w:val="278"/>
        </w:trPr>
        <w:tc>
          <w:tcPr>
            <w:tcW w:w="2790" w:type="dxa"/>
          </w:tcPr>
          <w:p w14:paraId="4F0D493C" w14:textId="5DCFF9F1" w:rsidR="00C659A8" w:rsidRPr="00DA4169" w:rsidRDefault="00C659A8" w:rsidP="006112BE">
            <w:pPr>
              <w:rPr>
                <w:b/>
                <w:bCs/>
              </w:rPr>
            </w:pPr>
            <w:r>
              <w:rPr>
                <w:b/>
                <w:bCs/>
              </w:rPr>
              <w:t>Action</w:t>
            </w:r>
          </w:p>
        </w:tc>
        <w:tc>
          <w:tcPr>
            <w:tcW w:w="2167" w:type="dxa"/>
          </w:tcPr>
          <w:p w14:paraId="4BBF713E" w14:textId="77777777" w:rsidR="00C659A8" w:rsidRPr="00DA4169" w:rsidRDefault="00C659A8" w:rsidP="006112BE">
            <w:pPr>
              <w:rPr>
                <w:b/>
                <w:bCs/>
              </w:rPr>
            </w:pPr>
            <w:r w:rsidRPr="00DA4169">
              <w:rPr>
                <w:b/>
                <w:bCs/>
              </w:rPr>
              <w:t>Who</w:t>
            </w:r>
          </w:p>
        </w:tc>
        <w:tc>
          <w:tcPr>
            <w:tcW w:w="1842" w:type="dxa"/>
          </w:tcPr>
          <w:p w14:paraId="0A682753" w14:textId="77777777" w:rsidR="00C659A8" w:rsidRPr="00DA4169" w:rsidRDefault="00C659A8" w:rsidP="006112BE">
            <w:pPr>
              <w:rPr>
                <w:b/>
                <w:bCs/>
              </w:rPr>
            </w:pPr>
            <w:r w:rsidRPr="00DA4169">
              <w:rPr>
                <w:b/>
                <w:bCs/>
              </w:rPr>
              <w:t>When</w:t>
            </w:r>
          </w:p>
        </w:tc>
        <w:tc>
          <w:tcPr>
            <w:tcW w:w="2217" w:type="dxa"/>
          </w:tcPr>
          <w:p w14:paraId="52E24F60" w14:textId="77777777" w:rsidR="00C659A8" w:rsidRPr="00DA4169" w:rsidRDefault="00C659A8" w:rsidP="006112BE">
            <w:pPr>
              <w:rPr>
                <w:b/>
                <w:bCs/>
              </w:rPr>
            </w:pPr>
          </w:p>
        </w:tc>
      </w:tr>
      <w:tr w:rsidR="00C659A8" w14:paraId="2C8FD5A2" w14:textId="4F0BE573" w:rsidTr="00C659A8">
        <w:trPr>
          <w:trHeight w:val="288"/>
        </w:trPr>
        <w:tc>
          <w:tcPr>
            <w:tcW w:w="2790" w:type="dxa"/>
          </w:tcPr>
          <w:p w14:paraId="5A9C8A8B" w14:textId="74811C1A" w:rsidR="00C659A8" w:rsidRPr="00DA4169" w:rsidRDefault="00C659A8" w:rsidP="006112BE">
            <w:pPr>
              <w:pStyle w:val="ListParagraph"/>
              <w:numPr>
                <w:ilvl w:val="0"/>
                <w:numId w:val="2"/>
              </w:numPr>
            </w:pPr>
            <w:r>
              <w:t>Update to Senate</w:t>
            </w:r>
          </w:p>
        </w:tc>
        <w:tc>
          <w:tcPr>
            <w:tcW w:w="2167" w:type="dxa"/>
          </w:tcPr>
          <w:p w14:paraId="427BDF3F" w14:textId="4201D282" w:rsidR="00C659A8" w:rsidRPr="00DA4169" w:rsidRDefault="00C659A8" w:rsidP="006112BE">
            <w:r>
              <w:t>Tracey Slaven</w:t>
            </w:r>
          </w:p>
        </w:tc>
        <w:tc>
          <w:tcPr>
            <w:tcW w:w="1842" w:type="dxa"/>
          </w:tcPr>
          <w:p w14:paraId="48C0EEA4" w14:textId="256DFAF0" w:rsidR="00C659A8" w:rsidRPr="00DA4169" w:rsidRDefault="00C659A8" w:rsidP="006112BE">
            <w:r>
              <w:t xml:space="preserve">5 June </w:t>
            </w:r>
          </w:p>
        </w:tc>
        <w:tc>
          <w:tcPr>
            <w:tcW w:w="2217" w:type="dxa"/>
          </w:tcPr>
          <w:p w14:paraId="166E42DF" w14:textId="411A34F2" w:rsidR="00C659A8" w:rsidRPr="00C659A8" w:rsidRDefault="00C659A8" w:rsidP="006112BE">
            <w:pPr>
              <w:rPr>
                <w:b/>
                <w:bCs/>
                <w:i/>
                <w:iCs/>
              </w:rPr>
            </w:pPr>
            <w:r w:rsidRPr="00C659A8">
              <w:rPr>
                <w:b/>
                <w:bCs/>
                <w:i/>
                <w:iCs/>
              </w:rPr>
              <w:t>Complete</w:t>
            </w:r>
          </w:p>
        </w:tc>
      </w:tr>
      <w:tr w:rsidR="00C659A8" w14:paraId="4D923A28" w14:textId="1F08338A" w:rsidTr="00C659A8">
        <w:trPr>
          <w:trHeight w:val="845"/>
        </w:trPr>
        <w:tc>
          <w:tcPr>
            <w:tcW w:w="2790" w:type="dxa"/>
          </w:tcPr>
          <w:p w14:paraId="25036957" w14:textId="6AC6F487" w:rsidR="00C659A8" w:rsidRPr="00DA4169" w:rsidRDefault="00C659A8" w:rsidP="00824645">
            <w:pPr>
              <w:pStyle w:val="ListParagraph"/>
              <w:numPr>
                <w:ilvl w:val="0"/>
                <w:numId w:val="2"/>
              </w:numPr>
            </w:pPr>
            <w:r>
              <w:t>Ongoing dialogue with British Council – awaiting proposal on HESPAL</w:t>
            </w:r>
          </w:p>
        </w:tc>
        <w:tc>
          <w:tcPr>
            <w:tcW w:w="2167" w:type="dxa"/>
          </w:tcPr>
          <w:p w14:paraId="54F10163" w14:textId="77777777" w:rsidR="00C659A8" w:rsidRDefault="00C659A8" w:rsidP="006112BE">
            <w:r>
              <w:t xml:space="preserve">Ashar Eshan </w:t>
            </w:r>
          </w:p>
          <w:p w14:paraId="6DE32FBD" w14:textId="77777777" w:rsidR="00C659A8" w:rsidRDefault="00C659A8" w:rsidP="006112BE"/>
          <w:p w14:paraId="0EECFF02" w14:textId="3CCF0AEE" w:rsidR="00C659A8" w:rsidRPr="00DA4169" w:rsidRDefault="00C659A8" w:rsidP="006112BE">
            <w:r>
              <w:t>Approval by SMT</w:t>
            </w:r>
          </w:p>
        </w:tc>
        <w:tc>
          <w:tcPr>
            <w:tcW w:w="1842" w:type="dxa"/>
          </w:tcPr>
          <w:p w14:paraId="34FF9F62" w14:textId="74B204AF" w:rsidR="00C659A8" w:rsidRPr="00DA4169" w:rsidRDefault="00C659A8" w:rsidP="006112BE">
            <w:r>
              <w:t>For academic year 2024/25</w:t>
            </w:r>
          </w:p>
        </w:tc>
        <w:tc>
          <w:tcPr>
            <w:tcW w:w="2217" w:type="dxa"/>
          </w:tcPr>
          <w:p w14:paraId="18ADF666" w14:textId="461EFD38" w:rsidR="00C659A8" w:rsidRDefault="00DB75C7" w:rsidP="006112BE">
            <w:r>
              <w:t>Proposal being developed with a view to implementing scholarship from Session 2025/26 (in line with BC timescales)</w:t>
            </w:r>
          </w:p>
        </w:tc>
      </w:tr>
      <w:tr w:rsidR="00C659A8" w14:paraId="5EDBC7C9" w14:textId="64D2628C" w:rsidTr="00C659A8">
        <w:trPr>
          <w:trHeight w:val="566"/>
        </w:trPr>
        <w:tc>
          <w:tcPr>
            <w:tcW w:w="2790" w:type="dxa"/>
          </w:tcPr>
          <w:p w14:paraId="7DCDFC46" w14:textId="69A08139" w:rsidR="00C659A8" w:rsidRPr="00DA4169" w:rsidRDefault="00C659A8" w:rsidP="006112BE">
            <w:pPr>
              <w:pStyle w:val="ListParagraph"/>
              <w:numPr>
                <w:ilvl w:val="0"/>
                <w:numId w:val="2"/>
              </w:numPr>
            </w:pPr>
            <w:r>
              <w:t xml:space="preserve">Inclusion of scholarships in new fundraising campaign </w:t>
            </w:r>
          </w:p>
        </w:tc>
        <w:tc>
          <w:tcPr>
            <w:tcW w:w="2167" w:type="dxa"/>
          </w:tcPr>
          <w:p w14:paraId="62541146" w14:textId="2FFCFC1E" w:rsidR="00C659A8" w:rsidRPr="00DA4169" w:rsidRDefault="00C659A8" w:rsidP="006112BE">
            <w:r>
              <w:t>Court</w:t>
            </w:r>
          </w:p>
        </w:tc>
        <w:tc>
          <w:tcPr>
            <w:tcW w:w="1842" w:type="dxa"/>
          </w:tcPr>
          <w:p w14:paraId="4E279068" w14:textId="112B5C33" w:rsidR="00C659A8" w:rsidRPr="00DA4169" w:rsidRDefault="00C659A8" w:rsidP="006112BE">
            <w:r>
              <w:t>June 2024 Court</w:t>
            </w:r>
          </w:p>
        </w:tc>
        <w:tc>
          <w:tcPr>
            <w:tcW w:w="2217" w:type="dxa"/>
          </w:tcPr>
          <w:p w14:paraId="34C39270" w14:textId="77777777" w:rsidR="00C659A8" w:rsidRDefault="00C659A8" w:rsidP="006112BE">
            <w:pPr>
              <w:rPr>
                <w:b/>
                <w:bCs/>
                <w:i/>
                <w:iCs/>
              </w:rPr>
            </w:pPr>
            <w:r>
              <w:rPr>
                <w:b/>
                <w:bCs/>
                <w:i/>
                <w:iCs/>
              </w:rPr>
              <w:t>Complete</w:t>
            </w:r>
          </w:p>
          <w:p w14:paraId="761B773D" w14:textId="21129D97" w:rsidR="00C659A8" w:rsidRPr="00C659A8" w:rsidRDefault="00C659A8" w:rsidP="006112BE"/>
        </w:tc>
      </w:tr>
    </w:tbl>
    <w:p w14:paraId="47CB82B8" w14:textId="6B0C3D5C" w:rsidR="00824645" w:rsidRDefault="00824645" w:rsidP="00824645">
      <w:pPr>
        <w:rPr>
          <w:b/>
          <w:bCs/>
          <w:sz w:val="24"/>
          <w:szCs w:val="24"/>
        </w:rPr>
      </w:pPr>
      <w:r>
        <w:rPr>
          <w:b/>
          <w:bCs/>
          <w:sz w:val="24"/>
          <w:szCs w:val="24"/>
        </w:rPr>
        <w:t>Support for Palestinian academics, students, and knowledge workers.</w:t>
      </w:r>
    </w:p>
    <w:p w14:paraId="4395E2F6" w14:textId="77777777" w:rsidR="00DB75C7" w:rsidRDefault="00DB75C7" w:rsidP="00DB75C7">
      <w:pPr>
        <w:rPr>
          <w:b/>
          <w:bCs/>
          <w:sz w:val="24"/>
          <w:szCs w:val="24"/>
        </w:rPr>
      </w:pPr>
    </w:p>
    <w:p w14:paraId="7049E4B4" w14:textId="5A0DBD4C" w:rsidR="00C659A8" w:rsidRPr="00DB75C7" w:rsidRDefault="00DB75C7" w:rsidP="00DB75C7">
      <w:pPr>
        <w:spacing w:after="0"/>
        <w:rPr>
          <w:sz w:val="24"/>
          <w:szCs w:val="24"/>
        </w:rPr>
      </w:pPr>
      <w:r>
        <w:rPr>
          <w:b/>
          <w:bCs/>
          <w:sz w:val="24"/>
          <w:szCs w:val="24"/>
        </w:rPr>
        <w:t>Sustainable Investment Policy</w:t>
      </w:r>
    </w:p>
    <w:tbl>
      <w:tblPr>
        <w:tblStyle w:val="TableGrid"/>
        <w:tblpPr w:leftFromText="180" w:rightFromText="180" w:vertAnchor="text" w:horzAnchor="margin" w:tblpY="369"/>
        <w:tblW w:w="9351" w:type="dxa"/>
        <w:tblLook w:val="04A0" w:firstRow="1" w:lastRow="0" w:firstColumn="1" w:lastColumn="0" w:noHBand="0" w:noVBand="1"/>
      </w:tblPr>
      <w:tblGrid>
        <w:gridCol w:w="2916"/>
        <w:gridCol w:w="1962"/>
        <w:gridCol w:w="1921"/>
        <w:gridCol w:w="2552"/>
      </w:tblGrid>
      <w:tr w:rsidR="00C659A8" w:rsidRPr="00DA4169" w14:paraId="5139AEE0" w14:textId="21112D33" w:rsidTr="008C1768">
        <w:trPr>
          <w:trHeight w:val="263"/>
        </w:trPr>
        <w:tc>
          <w:tcPr>
            <w:tcW w:w="2916" w:type="dxa"/>
          </w:tcPr>
          <w:p w14:paraId="7934167B" w14:textId="796DC302" w:rsidR="00C659A8" w:rsidRPr="00824645" w:rsidRDefault="00C659A8" w:rsidP="000050C4">
            <w:pPr>
              <w:rPr>
                <w:b/>
                <w:bCs/>
              </w:rPr>
            </w:pPr>
            <w:r w:rsidRPr="00824645">
              <w:rPr>
                <w:b/>
                <w:bCs/>
              </w:rPr>
              <w:t>Action</w:t>
            </w:r>
          </w:p>
        </w:tc>
        <w:tc>
          <w:tcPr>
            <w:tcW w:w="1962" w:type="dxa"/>
          </w:tcPr>
          <w:p w14:paraId="5E4F75F3" w14:textId="7F65BCE3" w:rsidR="00C659A8" w:rsidRPr="00824645" w:rsidRDefault="00C659A8" w:rsidP="006112BE">
            <w:pPr>
              <w:rPr>
                <w:b/>
                <w:bCs/>
              </w:rPr>
            </w:pPr>
            <w:r w:rsidRPr="00824645">
              <w:rPr>
                <w:b/>
                <w:bCs/>
              </w:rPr>
              <w:t>Who</w:t>
            </w:r>
          </w:p>
        </w:tc>
        <w:tc>
          <w:tcPr>
            <w:tcW w:w="1921" w:type="dxa"/>
          </w:tcPr>
          <w:p w14:paraId="296CE27D" w14:textId="543A9D80" w:rsidR="00C659A8" w:rsidRPr="00824645" w:rsidRDefault="00C659A8" w:rsidP="006112BE">
            <w:pPr>
              <w:rPr>
                <w:b/>
                <w:bCs/>
              </w:rPr>
            </w:pPr>
            <w:r w:rsidRPr="00824645">
              <w:rPr>
                <w:b/>
                <w:bCs/>
              </w:rPr>
              <w:t>When</w:t>
            </w:r>
          </w:p>
        </w:tc>
        <w:tc>
          <w:tcPr>
            <w:tcW w:w="2552" w:type="dxa"/>
          </w:tcPr>
          <w:p w14:paraId="2AFFB893" w14:textId="77777777" w:rsidR="00C659A8" w:rsidRPr="00824645" w:rsidRDefault="00C659A8" w:rsidP="006112BE">
            <w:pPr>
              <w:rPr>
                <w:b/>
                <w:bCs/>
              </w:rPr>
            </w:pPr>
          </w:p>
        </w:tc>
      </w:tr>
      <w:tr w:rsidR="00C659A8" w:rsidRPr="00DA4169" w14:paraId="520AF197" w14:textId="2F5897F9" w:rsidTr="008C1768">
        <w:trPr>
          <w:trHeight w:val="273"/>
        </w:trPr>
        <w:tc>
          <w:tcPr>
            <w:tcW w:w="2916" w:type="dxa"/>
          </w:tcPr>
          <w:p w14:paraId="7DF363F9" w14:textId="49773500" w:rsidR="00C659A8" w:rsidRPr="00DA4169" w:rsidRDefault="00C659A8" w:rsidP="006112BE">
            <w:pPr>
              <w:pStyle w:val="ListParagraph"/>
              <w:numPr>
                <w:ilvl w:val="0"/>
                <w:numId w:val="2"/>
              </w:numPr>
            </w:pPr>
            <w:r>
              <w:t>Engagement with APUC</w:t>
            </w:r>
          </w:p>
        </w:tc>
        <w:tc>
          <w:tcPr>
            <w:tcW w:w="1962" w:type="dxa"/>
          </w:tcPr>
          <w:p w14:paraId="7D4F40D6" w14:textId="56E1157D" w:rsidR="00C659A8" w:rsidRPr="00DA4169" w:rsidRDefault="00C659A8" w:rsidP="006112BE">
            <w:r>
              <w:t>Tracey Slaven</w:t>
            </w:r>
          </w:p>
        </w:tc>
        <w:tc>
          <w:tcPr>
            <w:tcW w:w="1921" w:type="dxa"/>
          </w:tcPr>
          <w:p w14:paraId="64775BD5" w14:textId="3636C8F9" w:rsidR="00C659A8" w:rsidRPr="00DA4169" w:rsidRDefault="00C659A8" w:rsidP="006112BE">
            <w:r>
              <w:t>End of July</w:t>
            </w:r>
          </w:p>
        </w:tc>
        <w:tc>
          <w:tcPr>
            <w:tcW w:w="2552" w:type="dxa"/>
          </w:tcPr>
          <w:p w14:paraId="74CB0A9D" w14:textId="5A8B2B55" w:rsidR="00C659A8" w:rsidRDefault="00DB75C7" w:rsidP="006112BE">
            <w:r w:rsidRPr="008C1768">
              <w:rPr>
                <w:rFonts w:cs="Arial"/>
                <w:bCs/>
              </w:rPr>
              <w:t xml:space="preserve">Laptop supply framework - HP split into 2 completely separate companies some years ago - HP Inc. and </w:t>
            </w:r>
            <w:r w:rsidRPr="008C1768">
              <w:rPr>
                <w:rFonts w:cs="Arial"/>
                <w:bCs/>
              </w:rPr>
              <w:lastRenderedPageBreak/>
              <w:t>Hewlett</w:t>
            </w:r>
            <w:r>
              <w:rPr>
                <w:rFonts w:ascii="Arial" w:hAnsi="Arial" w:cs="Arial"/>
                <w:bCs/>
                <w:sz w:val="20"/>
              </w:rPr>
              <w:t xml:space="preserve"> </w:t>
            </w:r>
            <w:r w:rsidRPr="008C1768">
              <w:rPr>
                <w:rFonts w:cs="Arial"/>
                <w:bCs/>
              </w:rPr>
              <w:t>Packard Enterprise (HPE). HPE is listed in relation to occupied territories in Palestine, whereas HP laptops come from HP Inc.  HP Inc. has advised that both companies operate independently of each other with no degree of joint ownership or control.</w:t>
            </w:r>
          </w:p>
        </w:tc>
      </w:tr>
      <w:tr w:rsidR="00C659A8" w:rsidRPr="00DA4169" w14:paraId="7FD7E10F" w14:textId="2C631D1A" w:rsidTr="008C1768">
        <w:trPr>
          <w:trHeight w:val="1308"/>
        </w:trPr>
        <w:tc>
          <w:tcPr>
            <w:tcW w:w="2916" w:type="dxa"/>
          </w:tcPr>
          <w:p w14:paraId="08E30753" w14:textId="482E2098" w:rsidR="00C659A8" w:rsidRPr="00DA4169" w:rsidRDefault="00C659A8" w:rsidP="006112BE">
            <w:pPr>
              <w:pStyle w:val="ListParagraph"/>
              <w:numPr>
                <w:ilvl w:val="0"/>
                <w:numId w:val="2"/>
              </w:numPr>
            </w:pPr>
            <w:r>
              <w:lastRenderedPageBreak/>
              <w:t>Review potential/practicality of extending exclusions to the wider arms sector.</w:t>
            </w:r>
          </w:p>
        </w:tc>
        <w:tc>
          <w:tcPr>
            <w:tcW w:w="1962" w:type="dxa"/>
          </w:tcPr>
          <w:p w14:paraId="6B97D2D0" w14:textId="77777777" w:rsidR="00C659A8" w:rsidRDefault="00C659A8" w:rsidP="006112BE">
            <w:r>
              <w:t xml:space="preserve">Tracey Slaven </w:t>
            </w:r>
          </w:p>
          <w:p w14:paraId="089CA9FC" w14:textId="0FCB1A6E" w:rsidR="00C659A8" w:rsidRPr="00DA4169" w:rsidRDefault="00C659A8" w:rsidP="006112BE">
            <w:r>
              <w:t xml:space="preserve"> </w:t>
            </w:r>
          </w:p>
        </w:tc>
        <w:tc>
          <w:tcPr>
            <w:tcW w:w="1921" w:type="dxa"/>
          </w:tcPr>
          <w:p w14:paraId="31FB64D2" w14:textId="77777777" w:rsidR="00C659A8" w:rsidRDefault="00C659A8" w:rsidP="006112BE">
            <w:r>
              <w:t xml:space="preserve">Investment Committee </w:t>
            </w:r>
          </w:p>
          <w:p w14:paraId="303FEB01" w14:textId="7871BA28" w:rsidR="00C659A8" w:rsidRDefault="00C659A8" w:rsidP="000E77B9">
            <w:pPr>
              <w:pStyle w:val="ListParagraph"/>
              <w:numPr>
                <w:ilvl w:val="0"/>
                <w:numId w:val="3"/>
              </w:numPr>
            </w:pPr>
            <w:r>
              <w:t>19 June</w:t>
            </w:r>
          </w:p>
          <w:p w14:paraId="00517184" w14:textId="77777777" w:rsidR="00C659A8" w:rsidRDefault="00C659A8" w:rsidP="000E77B9">
            <w:pPr>
              <w:pStyle w:val="ListParagraph"/>
              <w:numPr>
                <w:ilvl w:val="0"/>
                <w:numId w:val="3"/>
              </w:numPr>
            </w:pPr>
            <w:r>
              <w:t>26 September</w:t>
            </w:r>
          </w:p>
          <w:p w14:paraId="7D31F02D" w14:textId="34AD0585" w:rsidR="00C659A8" w:rsidRPr="00DA4169" w:rsidRDefault="00C659A8" w:rsidP="00A053C7">
            <w:pPr>
              <w:pStyle w:val="ListParagraph"/>
              <w:ind w:left="360"/>
            </w:pPr>
          </w:p>
        </w:tc>
        <w:tc>
          <w:tcPr>
            <w:tcW w:w="2552" w:type="dxa"/>
          </w:tcPr>
          <w:p w14:paraId="1A5EC29B" w14:textId="77777777" w:rsidR="00C659A8" w:rsidRDefault="00A053C7" w:rsidP="006112BE">
            <w:r>
              <w:t>Analysis identifies that Pooled funds prevent extension of Policy at this time.  As new pooled funds emerge this can be reviewed.</w:t>
            </w:r>
          </w:p>
          <w:p w14:paraId="71602FDB" w14:textId="1339E8B0" w:rsidR="00A053C7" w:rsidRDefault="00A053C7" w:rsidP="006112BE">
            <w:r>
              <w:t>Commitment to transparently report level of investment in the sector on a regular basis</w:t>
            </w:r>
            <w:r w:rsidR="008C1768">
              <w:t>.</w:t>
            </w:r>
          </w:p>
        </w:tc>
      </w:tr>
      <w:tr w:rsidR="00C659A8" w:rsidRPr="00DA4169" w14:paraId="502CA395" w14:textId="1218D45B" w:rsidTr="008C1768">
        <w:trPr>
          <w:trHeight w:val="699"/>
        </w:trPr>
        <w:tc>
          <w:tcPr>
            <w:tcW w:w="2916" w:type="dxa"/>
          </w:tcPr>
          <w:p w14:paraId="30C79E50" w14:textId="59CE0984" w:rsidR="00C659A8" w:rsidRDefault="00C659A8" w:rsidP="006112BE">
            <w:pPr>
              <w:pStyle w:val="ListParagraph"/>
              <w:numPr>
                <w:ilvl w:val="0"/>
                <w:numId w:val="2"/>
              </w:numPr>
            </w:pPr>
            <w:r>
              <w:t>Review potential/</w:t>
            </w:r>
            <w:r w:rsidR="000050C4">
              <w:t xml:space="preserve"> </w:t>
            </w:r>
            <w:r>
              <w:t>practicality of extending exclusions to include the UN listing of companies in the OPT.</w:t>
            </w:r>
          </w:p>
        </w:tc>
        <w:tc>
          <w:tcPr>
            <w:tcW w:w="1962" w:type="dxa"/>
          </w:tcPr>
          <w:p w14:paraId="75113B66" w14:textId="51F5492C" w:rsidR="00C659A8" w:rsidRPr="00DA4169" w:rsidRDefault="00C659A8" w:rsidP="006112BE">
            <w:r>
              <w:t>(as above)</w:t>
            </w:r>
          </w:p>
        </w:tc>
        <w:tc>
          <w:tcPr>
            <w:tcW w:w="1921" w:type="dxa"/>
          </w:tcPr>
          <w:p w14:paraId="3120BE2D" w14:textId="7EC7F5F5" w:rsidR="00C659A8" w:rsidRDefault="00C659A8" w:rsidP="006112BE">
            <w:r>
              <w:t>(as above)</w:t>
            </w:r>
          </w:p>
        </w:tc>
        <w:tc>
          <w:tcPr>
            <w:tcW w:w="2552" w:type="dxa"/>
          </w:tcPr>
          <w:p w14:paraId="5D975AD5" w14:textId="425E538B" w:rsidR="00C659A8" w:rsidRDefault="00A053C7" w:rsidP="006112BE">
            <w:r>
              <w:t>Pooled fund management means exclusion is not possible</w:t>
            </w:r>
          </w:p>
        </w:tc>
      </w:tr>
    </w:tbl>
    <w:p w14:paraId="493745E1" w14:textId="7E150316" w:rsidR="00C659A8" w:rsidRPr="00824645" w:rsidRDefault="00C659A8" w:rsidP="00DB75C7">
      <w:pPr>
        <w:rPr>
          <w:sz w:val="24"/>
          <w:szCs w:val="24"/>
        </w:rPr>
      </w:pPr>
    </w:p>
    <w:sectPr w:rsidR="00C659A8" w:rsidRPr="0082464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CF6A7" w14:textId="77777777" w:rsidR="000E77B9" w:rsidRDefault="000E77B9" w:rsidP="000E77B9">
      <w:pPr>
        <w:spacing w:after="0" w:line="240" w:lineRule="auto"/>
      </w:pPr>
      <w:r>
        <w:separator/>
      </w:r>
    </w:p>
  </w:endnote>
  <w:endnote w:type="continuationSeparator" w:id="0">
    <w:p w14:paraId="7CF0DDE3" w14:textId="77777777" w:rsidR="000E77B9" w:rsidRDefault="000E77B9" w:rsidP="000E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4827" w14:textId="77777777" w:rsidR="000E77B9" w:rsidRDefault="000E7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D2F1F" w14:textId="77777777" w:rsidR="000E77B9" w:rsidRDefault="000E7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1CF70" w14:textId="77777777" w:rsidR="000E77B9" w:rsidRDefault="000E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C1412" w14:textId="77777777" w:rsidR="000E77B9" w:rsidRDefault="000E77B9" w:rsidP="000E77B9">
      <w:pPr>
        <w:spacing w:after="0" w:line="240" w:lineRule="auto"/>
      </w:pPr>
      <w:r>
        <w:separator/>
      </w:r>
    </w:p>
  </w:footnote>
  <w:footnote w:type="continuationSeparator" w:id="0">
    <w:p w14:paraId="425983BA" w14:textId="77777777" w:rsidR="000E77B9" w:rsidRDefault="000E77B9" w:rsidP="000E7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81A1" w14:textId="77777777" w:rsidR="000E77B9" w:rsidRDefault="000E7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D9E25" w14:textId="6B0297DC" w:rsidR="000E77B9" w:rsidRDefault="000E7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FB2B" w14:textId="77777777" w:rsidR="000E77B9" w:rsidRDefault="000E7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09A"/>
    <w:multiLevelType w:val="hybridMultilevel"/>
    <w:tmpl w:val="346216A6"/>
    <w:lvl w:ilvl="0" w:tplc="7CECD642">
      <w:start w:val="5"/>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3F06B7"/>
    <w:multiLevelType w:val="hybridMultilevel"/>
    <w:tmpl w:val="AD30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4653A"/>
    <w:multiLevelType w:val="hybridMultilevel"/>
    <w:tmpl w:val="014C0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8436790">
    <w:abstractNumId w:val="1"/>
  </w:num>
  <w:num w:numId="2" w16cid:durableId="1585185617">
    <w:abstractNumId w:val="2"/>
  </w:num>
  <w:num w:numId="3" w16cid:durableId="138879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C8"/>
    <w:rsid w:val="000050C4"/>
    <w:rsid w:val="00012ABE"/>
    <w:rsid w:val="000A2E5C"/>
    <w:rsid w:val="000C0363"/>
    <w:rsid w:val="000C58B9"/>
    <w:rsid w:val="000E35CF"/>
    <w:rsid w:val="000E77B9"/>
    <w:rsid w:val="00117811"/>
    <w:rsid w:val="001D723B"/>
    <w:rsid w:val="001F1534"/>
    <w:rsid w:val="003D2C9E"/>
    <w:rsid w:val="003D2D8F"/>
    <w:rsid w:val="00485AFF"/>
    <w:rsid w:val="004C4894"/>
    <w:rsid w:val="005B7802"/>
    <w:rsid w:val="006507C8"/>
    <w:rsid w:val="006A7FD3"/>
    <w:rsid w:val="00824645"/>
    <w:rsid w:val="00873026"/>
    <w:rsid w:val="008A5030"/>
    <w:rsid w:val="008C1768"/>
    <w:rsid w:val="008F02EF"/>
    <w:rsid w:val="009311F1"/>
    <w:rsid w:val="009E283E"/>
    <w:rsid w:val="00A053C7"/>
    <w:rsid w:val="00A85D7C"/>
    <w:rsid w:val="00A90D9E"/>
    <w:rsid w:val="00AA4E81"/>
    <w:rsid w:val="00B4760A"/>
    <w:rsid w:val="00B9603B"/>
    <w:rsid w:val="00C659A8"/>
    <w:rsid w:val="00CC5A72"/>
    <w:rsid w:val="00DA4169"/>
    <w:rsid w:val="00DB55FA"/>
    <w:rsid w:val="00DB75C7"/>
    <w:rsid w:val="00E61583"/>
    <w:rsid w:val="00EA7661"/>
    <w:rsid w:val="00F17CFF"/>
    <w:rsid w:val="00F23890"/>
    <w:rsid w:val="00FB058B"/>
    <w:rsid w:val="00FC7A34"/>
    <w:rsid w:val="00FF7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BB23DB"/>
  <w15:chartTrackingRefBased/>
  <w15:docId w15:val="{10872A90-4F87-4A05-8A10-20A49F2C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7C8"/>
    <w:rPr>
      <w:rFonts w:eastAsiaTheme="majorEastAsia" w:cstheme="majorBidi"/>
      <w:color w:val="272727" w:themeColor="text1" w:themeTint="D8"/>
    </w:rPr>
  </w:style>
  <w:style w:type="paragraph" w:styleId="Title">
    <w:name w:val="Title"/>
    <w:basedOn w:val="Normal"/>
    <w:next w:val="Normal"/>
    <w:link w:val="TitleChar"/>
    <w:uiPriority w:val="10"/>
    <w:qFormat/>
    <w:rsid w:val="00650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7C8"/>
    <w:pPr>
      <w:spacing w:before="160"/>
      <w:jc w:val="center"/>
    </w:pPr>
    <w:rPr>
      <w:i/>
      <w:iCs/>
      <w:color w:val="404040" w:themeColor="text1" w:themeTint="BF"/>
    </w:rPr>
  </w:style>
  <w:style w:type="character" w:customStyle="1" w:styleId="QuoteChar">
    <w:name w:val="Quote Char"/>
    <w:basedOn w:val="DefaultParagraphFont"/>
    <w:link w:val="Quote"/>
    <w:uiPriority w:val="29"/>
    <w:rsid w:val="006507C8"/>
    <w:rPr>
      <w:i/>
      <w:iCs/>
      <w:color w:val="404040" w:themeColor="text1" w:themeTint="BF"/>
    </w:rPr>
  </w:style>
  <w:style w:type="paragraph" w:styleId="ListParagraph">
    <w:name w:val="List Paragraph"/>
    <w:basedOn w:val="Normal"/>
    <w:uiPriority w:val="34"/>
    <w:qFormat/>
    <w:rsid w:val="006507C8"/>
    <w:pPr>
      <w:ind w:left="720"/>
      <w:contextualSpacing/>
    </w:pPr>
  </w:style>
  <w:style w:type="character" w:styleId="IntenseEmphasis">
    <w:name w:val="Intense Emphasis"/>
    <w:basedOn w:val="DefaultParagraphFont"/>
    <w:uiPriority w:val="21"/>
    <w:qFormat/>
    <w:rsid w:val="006507C8"/>
    <w:rPr>
      <w:i/>
      <w:iCs/>
      <w:color w:val="0F4761" w:themeColor="accent1" w:themeShade="BF"/>
    </w:rPr>
  </w:style>
  <w:style w:type="paragraph" w:styleId="IntenseQuote">
    <w:name w:val="Intense Quote"/>
    <w:basedOn w:val="Normal"/>
    <w:next w:val="Normal"/>
    <w:link w:val="IntenseQuoteChar"/>
    <w:uiPriority w:val="30"/>
    <w:qFormat/>
    <w:rsid w:val="00650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7C8"/>
    <w:rPr>
      <w:i/>
      <w:iCs/>
      <w:color w:val="0F4761" w:themeColor="accent1" w:themeShade="BF"/>
    </w:rPr>
  </w:style>
  <w:style w:type="character" w:styleId="IntenseReference">
    <w:name w:val="Intense Reference"/>
    <w:basedOn w:val="DefaultParagraphFont"/>
    <w:uiPriority w:val="32"/>
    <w:qFormat/>
    <w:rsid w:val="006507C8"/>
    <w:rPr>
      <w:b/>
      <w:bCs/>
      <w:smallCaps/>
      <w:color w:val="0F4761" w:themeColor="accent1" w:themeShade="BF"/>
      <w:spacing w:val="5"/>
    </w:rPr>
  </w:style>
  <w:style w:type="table" w:styleId="TableGrid">
    <w:name w:val="Table Grid"/>
    <w:basedOn w:val="TableNormal"/>
    <w:uiPriority w:val="39"/>
    <w:rsid w:val="00DA4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B9"/>
  </w:style>
  <w:style w:type="paragraph" w:styleId="Footer">
    <w:name w:val="footer"/>
    <w:basedOn w:val="Normal"/>
    <w:link w:val="FooterChar"/>
    <w:uiPriority w:val="99"/>
    <w:unhideWhenUsed/>
    <w:rsid w:val="000E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 Tracey</dc:creator>
  <cp:keywords/>
  <dc:description/>
  <cp:lastModifiedBy>Crabb, Heather F.</cp:lastModifiedBy>
  <cp:revision>6</cp:revision>
  <dcterms:created xsi:type="dcterms:W3CDTF">2024-10-08T12:56:00Z</dcterms:created>
  <dcterms:modified xsi:type="dcterms:W3CDTF">2024-10-18T13:02:00Z</dcterms:modified>
</cp:coreProperties>
</file>