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12E4" w14:textId="16270EEE" w:rsidR="00AC56DC" w:rsidRDefault="00AC56DC" w:rsidP="00AC56DC">
      <w:pPr>
        <w:pStyle w:val="BodyText"/>
        <w:spacing w:before="120" w:after="120" w:line="276" w:lineRule="auto"/>
        <w:rPr>
          <w:b/>
          <w:bCs/>
          <w:sz w:val="100"/>
          <w:szCs w:val="100"/>
        </w:rPr>
      </w:pPr>
      <w:r w:rsidRPr="00D5680D">
        <w:rPr>
          <w:b/>
          <w:bCs/>
          <w:sz w:val="100"/>
          <w:szCs w:val="100"/>
        </w:rPr>
        <w:t xml:space="preserve">Equality Impact Assessment </w:t>
      </w:r>
      <w:r>
        <w:rPr>
          <w:b/>
          <w:bCs/>
          <w:sz w:val="100"/>
          <w:szCs w:val="100"/>
        </w:rPr>
        <w:t>Guidance</w:t>
      </w:r>
    </w:p>
    <w:p w14:paraId="102C66CF" w14:textId="77777777" w:rsidR="00AC56DC" w:rsidRDefault="00AC56DC" w:rsidP="00AC56DC">
      <w:pPr>
        <w:rPr>
          <w:rFonts w:ascii="Arial" w:eastAsia="Times New Roman" w:hAnsi="Arial" w:cs="Arial"/>
          <w:b/>
          <w:bCs/>
          <w:kern w:val="0"/>
          <w:sz w:val="100"/>
          <w:szCs w:val="100"/>
        </w:rPr>
      </w:pPr>
      <w:r>
        <w:rPr>
          <w:b/>
          <w:bCs/>
          <w:sz w:val="100"/>
          <w:szCs w:val="100"/>
        </w:rPr>
        <w:br w:type="page"/>
      </w:r>
    </w:p>
    <w:sdt>
      <w:sdtPr>
        <w:rPr>
          <w:rFonts w:asciiTheme="minorHAnsi" w:eastAsiaTheme="minorEastAsia" w:hAnsiTheme="minorHAnsi" w:cs="Times New Roman"/>
          <w:color w:val="auto"/>
          <w:sz w:val="22"/>
          <w:szCs w:val="22"/>
        </w:rPr>
        <w:id w:val="1907414815"/>
        <w:docPartObj>
          <w:docPartGallery w:val="Table of Contents"/>
          <w:docPartUnique/>
        </w:docPartObj>
      </w:sdtPr>
      <w:sdtContent>
        <w:p w14:paraId="1270CC99" w14:textId="77777777" w:rsidR="00AC56DC" w:rsidRPr="00D5680D" w:rsidRDefault="00AC56DC" w:rsidP="00AC56DC">
          <w:pPr>
            <w:pStyle w:val="TOCHeading"/>
            <w:spacing w:before="120" w:after="240" w:line="276" w:lineRule="auto"/>
            <w:jc w:val="center"/>
            <w:rPr>
              <w:rFonts w:ascii="Arial" w:hAnsi="Arial" w:cs="Arial"/>
              <w:b/>
              <w:bCs/>
              <w:color w:val="auto"/>
            </w:rPr>
          </w:pPr>
          <w:r w:rsidRPr="00D5680D">
            <w:rPr>
              <w:rFonts w:ascii="Arial" w:hAnsi="Arial" w:cs="Arial"/>
              <w:b/>
              <w:bCs/>
              <w:color w:val="auto"/>
            </w:rPr>
            <w:t>Table of Contents</w:t>
          </w:r>
        </w:p>
        <w:p w14:paraId="0C65C24E" w14:textId="77777777" w:rsidR="00AC56DC" w:rsidRPr="00554CEB" w:rsidRDefault="00000000" w:rsidP="00AC56DC">
          <w:pPr>
            <w:pStyle w:val="TOC1"/>
            <w:spacing w:before="120" w:after="240" w:line="276" w:lineRule="auto"/>
            <w:rPr>
              <w:rFonts w:ascii="Arial" w:hAnsi="Arial" w:cs="Arial"/>
            </w:rPr>
          </w:pPr>
          <w:hyperlink w:anchor="_Introduction" w:history="1">
            <w:r w:rsidR="00AC56DC">
              <w:rPr>
                <w:rStyle w:val="Hyperlink"/>
                <w:rFonts w:ascii="Arial" w:hAnsi="Arial" w:cs="Arial"/>
                <w:color w:val="auto"/>
                <w:u w:val="none"/>
              </w:rPr>
              <w:t>What is an Equality Impact Assessment and why do we need to complete one?</w:t>
            </w:r>
            <w:r w:rsidR="00AC56DC" w:rsidRPr="00554CEB">
              <w:rPr>
                <w:rStyle w:val="Hyperlink"/>
                <w:rFonts w:ascii="Arial" w:hAnsi="Arial" w:cs="Arial"/>
                <w:color w:val="auto"/>
                <w:u w:val="none"/>
              </w:rPr>
              <w:ptab w:relativeTo="margin" w:alignment="right" w:leader="dot"/>
            </w:r>
            <w:r w:rsidR="00AC56DC">
              <w:rPr>
                <w:rStyle w:val="Hyperlink"/>
                <w:rFonts w:ascii="Arial" w:hAnsi="Arial" w:cs="Arial"/>
                <w:color w:val="auto"/>
                <w:u w:val="none"/>
              </w:rPr>
              <w:t>3</w:t>
            </w:r>
          </w:hyperlink>
        </w:p>
        <w:p w14:paraId="36DBF112" w14:textId="77777777" w:rsidR="00AC56DC" w:rsidRPr="00554CEB" w:rsidRDefault="00000000" w:rsidP="00AC56DC">
          <w:pPr>
            <w:pStyle w:val="TOC2"/>
            <w:spacing w:before="120" w:after="240" w:line="276" w:lineRule="auto"/>
            <w:ind w:left="216"/>
            <w:rPr>
              <w:rFonts w:ascii="Arial" w:hAnsi="Arial" w:cs="Arial"/>
              <w:sz w:val="24"/>
              <w:szCs w:val="24"/>
            </w:rPr>
          </w:pPr>
          <w:hyperlink w:anchor="_The_Equality,_Diversity," w:history="1">
            <w:r w:rsidR="00AC56DC" w:rsidRPr="00554CEB">
              <w:rPr>
                <w:rStyle w:val="Hyperlink"/>
                <w:rFonts w:ascii="Arial" w:hAnsi="Arial" w:cs="Arial"/>
                <w:color w:val="auto"/>
                <w:sz w:val="24"/>
                <w:szCs w:val="24"/>
                <w:u w:val="none"/>
              </w:rPr>
              <w:t xml:space="preserve">Equality, </w:t>
            </w:r>
            <w:proofErr w:type="gramStart"/>
            <w:r w:rsidR="00AC56DC" w:rsidRPr="00554CEB">
              <w:rPr>
                <w:rStyle w:val="Hyperlink"/>
                <w:rFonts w:ascii="Arial" w:hAnsi="Arial" w:cs="Arial"/>
                <w:color w:val="auto"/>
                <w:sz w:val="24"/>
                <w:szCs w:val="24"/>
                <w:u w:val="none"/>
              </w:rPr>
              <w:t>Diversity</w:t>
            </w:r>
            <w:proofErr w:type="gramEnd"/>
            <w:r w:rsidR="00AC56DC" w:rsidRPr="00554CEB">
              <w:rPr>
                <w:rStyle w:val="Hyperlink"/>
                <w:rFonts w:ascii="Arial" w:hAnsi="Arial" w:cs="Arial"/>
                <w:color w:val="auto"/>
                <w:sz w:val="24"/>
                <w:szCs w:val="24"/>
                <w:u w:val="none"/>
              </w:rPr>
              <w:t xml:space="preserve"> and Inclusion Team</w:t>
            </w:r>
            <w:r w:rsidR="00AC56DC" w:rsidRPr="00554CEB">
              <w:rPr>
                <w:rStyle w:val="Hyperlink"/>
                <w:rFonts w:ascii="Arial" w:hAnsi="Arial" w:cs="Arial"/>
                <w:color w:val="auto"/>
                <w:sz w:val="24"/>
                <w:szCs w:val="24"/>
                <w:u w:val="none"/>
              </w:rPr>
              <w:ptab w:relativeTo="margin" w:alignment="right" w:leader="dot"/>
            </w:r>
          </w:hyperlink>
          <w:r w:rsidR="00AC56DC">
            <w:rPr>
              <w:rFonts w:ascii="Arial" w:hAnsi="Arial" w:cs="Arial"/>
              <w:sz w:val="24"/>
              <w:szCs w:val="24"/>
            </w:rPr>
            <w:t>4</w:t>
          </w:r>
        </w:p>
        <w:p w14:paraId="2EBC0500" w14:textId="77777777" w:rsidR="00AC56DC" w:rsidRPr="00554CEB" w:rsidRDefault="00000000" w:rsidP="00AC56DC">
          <w:pPr>
            <w:pStyle w:val="TOC1"/>
            <w:spacing w:before="120" w:after="240" w:line="276" w:lineRule="auto"/>
            <w:rPr>
              <w:rFonts w:ascii="Arial" w:hAnsi="Arial" w:cs="Arial"/>
            </w:rPr>
          </w:pPr>
          <w:hyperlink w:anchor="_Undertaking_an_Impact" w:history="1">
            <w:r w:rsidR="00AC56DC" w:rsidRPr="00554CEB">
              <w:rPr>
                <w:rStyle w:val="Hyperlink"/>
                <w:rFonts w:ascii="Arial" w:hAnsi="Arial" w:cs="Arial"/>
                <w:color w:val="auto"/>
                <w:u w:val="none"/>
              </w:rPr>
              <w:t>Undertaking an Equality Impact Assessment</w:t>
            </w:r>
            <w:r w:rsidR="00AC56DC" w:rsidRPr="00554CEB">
              <w:rPr>
                <w:rStyle w:val="Hyperlink"/>
                <w:rFonts w:ascii="Arial" w:hAnsi="Arial" w:cs="Arial"/>
                <w:color w:val="auto"/>
                <w:u w:val="none"/>
              </w:rPr>
              <w:ptab w:relativeTo="margin" w:alignment="right" w:leader="dot"/>
            </w:r>
          </w:hyperlink>
          <w:r w:rsidR="00AC56DC">
            <w:rPr>
              <w:rFonts w:ascii="Arial" w:hAnsi="Arial" w:cs="Arial"/>
            </w:rPr>
            <w:t>5</w:t>
          </w:r>
        </w:p>
        <w:p w14:paraId="7E189315" w14:textId="77777777" w:rsidR="00AC56DC" w:rsidRDefault="00000000" w:rsidP="00AC56DC">
          <w:pPr>
            <w:pStyle w:val="TOC2"/>
            <w:spacing w:before="120" w:after="240" w:line="276" w:lineRule="auto"/>
            <w:ind w:left="216"/>
            <w:rPr>
              <w:rFonts w:ascii="Arial" w:hAnsi="Arial" w:cs="Arial"/>
              <w:sz w:val="24"/>
              <w:szCs w:val="24"/>
            </w:rPr>
          </w:pPr>
          <w:hyperlink w:anchor="_Consultation" w:history="1">
            <w:r w:rsidR="00AC56DC" w:rsidRPr="00554CEB">
              <w:rPr>
                <w:rStyle w:val="Hyperlink"/>
                <w:rFonts w:ascii="Arial" w:hAnsi="Arial" w:cs="Arial"/>
                <w:color w:val="auto"/>
                <w:sz w:val="24"/>
                <w:szCs w:val="24"/>
                <w:u w:val="none"/>
              </w:rPr>
              <w:t>Consultation</w:t>
            </w:r>
            <w:r w:rsidR="00AC56DC" w:rsidRPr="00554CEB">
              <w:rPr>
                <w:rStyle w:val="Hyperlink"/>
                <w:rFonts w:ascii="Arial" w:hAnsi="Arial" w:cs="Arial"/>
                <w:color w:val="auto"/>
                <w:sz w:val="24"/>
                <w:szCs w:val="24"/>
                <w:u w:val="none"/>
              </w:rPr>
              <w:ptab w:relativeTo="margin" w:alignment="right" w:leader="dot"/>
            </w:r>
          </w:hyperlink>
          <w:r w:rsidR="00AC56DC">
            <w:rPr>
              <w:rFonts w:ascii="Arial" w:hAnsi="Arial" w:cs="Arial"/>
              <w:sz w:val="24"/>
              <w:szCs w:val="24"/>
            </w:rPr>
            <w:t>5</w:t>
          </w:r>
        </w:p>
        <w:p w14:paraId="0FCF94C7" w14:textId="77777777" w:rsidR="00AC56DC" w:rsidRPr="006A5D90" w:rsidRDefault="00AC56DC" w:rsidP="00AC56DC">
          <w:pPr>
            <w:pStyle w:val="TOC2"/>
            <w:spacing w:before="120" w:after="240" w:line="276" w:lineRule="auto"/>
            <w:ind w:left="216"/>
            <w:rPr>
              <w:rStyle w:val="Hyperlink"/>
              <w:rFonts w:ascii="Arial" w:hAnsi="Arial" w:cs="Arial"/>
              <w:color w:val="auto"/>
              <w:sz w:val="24"/>
              <w:szCs w:val="24"/>
              <w:u w:val="none"/>
            </w:rPr>
          </w:pPr>
          <w:r w:rsidRPr="006A5D90">
            <w:rPr>
              <w:rFonts w:ascii="Arial" w:hAnsi="Arial" w:cs="Arial"/>
              <w:sz w:val="24"/>
              <w:szCs w:val="24"/>
            </w:rPr>
            <w:fldChar w:fldCharType="begin"/>
          </w:r>
          <w:r w:rsidRPr="006A5D90">
            <w:rPr>
              <w:rFonts w:ascii="Arial" w:hAnsi="Arial" w:cs="Arial"/>
              <w:sz w:val="24"/>
              <w:szCs w:val="24"/>
            </w:rPr>
            <w:instrText>HYPERLINK  \l "_Review_of_Policies,"</w:instrText>
          </w:r>
          <w:r w:rsidRPr="006A5D90">
            <w:rPr>
              <w:rFonts w:ascii="Arial" w:hAnsi="Arial" w:cs="Arial"/>
              <w:sz w:val="24"/>
              <w:szCs w:val="24"/>
            </w:rPr>
          </w:r>
          <w:r w:rsidRPr="006A5D90">
            <w:rPr>
              <w:rFonts w:ascii="Arial" w:hAnsi="Arial" w:cs="Arial"/>
              <w:sz w:val="24"/>
              <w:szCs w:val="24"/>
            </w:rPr>
            <w:fldChar w:fldCharType="separate"/>
          </w:r>
          <w:r w:rsidRPr="006A5D90">
            <w:rPr>
              <w:rStyle w:val="Hyperlink"/>
              <w:rFonts w:ascii="Arial" w:hAnsi="Arial" w:cs="Arial"/>
              <w:color w:val="auto"/>
              <w:sz w:val="24"/>
              <w:szCs w:val="24"/>
              <w:u w:val="none"/>
            </w:rPr>
            <w:t>Review of Policies, Practices or Functions</w:t>
          </w:r>
          <w:r w:rsidRPr="006A5D90">
            <w:rPr>
              <w:rStyle w:val="Hyperlink"/>
              <w:rFonts w:ascii="Arial" w:hAnsi="Arial" w:cs="Arial"/>
              <w:color w:val="auto"/>
              <w:sz w:val="24"/>
              <w:szCs w:val="24"/>
              <w:u w:val="none"/>
            </w:rPr>
            <w:ptab w:relativeTo="margin" w:alignment="right" w:leader="dot"/>
          </w:r>
          <w:r>
            <w:rPr>
              <w:rStyle w:val="Hyperlink"/>
              <w:rFonts w:ascii="Arial" w:hAnsi="Arial" w:cs="Arial"/>
              <w:color w:val="auto"/>
              <w:sz w:val="24"/>
              <w:szCs w:val="24"/>
              <w:u w:val="none"/>
            </w:rPr>
            <w:t>6</w:t>
          </w:r>
        </w:p>
        <w:p w14:paraId="298B4B6B" w14:textId="77777777" w:rsidR="00AC56DC" w:rsidRPr="00554CEB" w:rsidRDefault="00AC56DC" w:rsidP="00AC56DC">
          <w:pPr>
            <w:pStyle w:val="TOC2"/>
            <w:spacing w:before="120" w:after="240" w:line="276" w:lineRule="auto"/>
            <w:ind w:left="216"/>
            <w:rPr>
              <w:rFonts w:ascii="Arial" w:hAnsi="Arial" w:cs="Arial"/>
              <w:sz w:val="24"/>
              <w:szCs w:val="24"/>
            </w:rPr>
          </w:pPr>
          <w:r w:rsidRPr="006A5D90">
            <w:rPr>
              <w:rFonts w:ascii="Arial" w:hAnsi="Arial" w:cs="Arial"/>
              <w:sz w:val="24"/>
              <w:szCs w:val="24"/>
            </w:rPr>
            <w:fldChar w:fldCharType="end"/>
          </w:r>
          <w:hyperlink w:anchor="_Monitoring_and_Data" w:history="1">
            <w:r w:rsidRPr="00554CEB">
              <w:rPr>
                <w:rStyle w:val="Hyperlink"/>
                <w:rFonts w:ascii="Arial" w:hAnsi="Arial" w:cs="Arial"/>
                <w:color w:val="auto"/>
                <w:sz w:val="24"/>
                <w:szCs w:val="24"/>
                <w:u w:val="none"/>
              </w:rPr>
              <w:t>Monitoring and Data Collection</w:t>
            </w:r>
            <w:r w:rsidRPr="00554CEB">
              <w:rPr>
                <w:rStyle w:val="Hyperlink"/>
                <w:rFonts w:ascii="Arial" w:hAnsi="Arial" w:cs="Arial"/>
                <w:color w:val="auto"/>
                <w:sz w:val="24"/>
                <w:szCs w:val="24"/>
                <w:u w:val="none"/>
              </w:rPr>
              <w:ptab w:relativeTo="margin" w:alignment="right" w:leader="dot"/>
            </w:r>
          </w:hyperlink>
          <w:r>
            <w:rPr>
              <w:rFonts w:ascii="Arial" w:hAnsi="Arial" w:cs="Arial"/>
              <w:sz w:val="24"/>
              <w:szCs w:val="24"/>
            </w:rPr>
            <w:t>6</w:t>
          </w:r>
        </w:p>
        <w:p w14:paraId="5FD91964" w14:textId="77777777" w:rsidR="00AC56DC" w:rsidRPr="00554CEB" w:rsidRDefault="00000000" w:rsidP="00AC56DC">
          <w:pPr>
            <w:pStyle w:val="TOC2"/>
            <w:spacing w:before="120" w:after="240" w:line="276" w:lineRule="auto"/>
            <w:ind w:left="216"/>
            <w:rPr>
              <w:rFonts w:ascii="Arial" w:hAnsi="Arial" w:cs="Arial"/>
              <w:sz w:val="24"/>
              <w:szCs w:val="24"/>
            </w:rPr>
          </w:pPr>
          <w:hyperlink w:anchor="_Publishing" w:history="1">
            <w:r w:rsidR="00AC56DC" w:rsidRPr="00554CEB">
              <w:rPr>
                <w:rStyle w:val="Hyperlink"/>
                <w:rFonts w:ascii="Arial" w:hAnsi="Arial" w:cs="Arial"/>
                <w:color w:val="auto"/>
                <w:sz w:val="24"/>
                <w:szCs w:val="24"/>
                <w:u w:val="none"/>
              </w:rPr>
              <w:t>Publishing</w:t>
            </w:r>
            <w:r w:rsidR="00AC56DC" w:rsidRPr="00554CEB">
              <w:rPr>
                <w:rStyle w:val="Hyperlink"/>
                <w:rFonts w:ascii="Arial" w:hAnsi="Arial" w:cs="Arial"/>
                <w:color w:val="auto"/>
                <w:sz w:val="24"/>
                <w:szCs w:val="24"/>
                <w:u w:val="none"/>
              </w:rPr>
              <w:ptab w:relativeTo="margin" w:alignment="right" w:leader="dot"/>
            </w:r>
          </w:hyperlink>
          <w:r w:rsidR="00AC56DC">
            <w:rPr>
              <w:rFonts w:ascii="Arial" w:hAnsi="Arial" w:cs="Arial"/>
              <w:sz w:val="24"/>
              <w:szCs w:val="24"/>
            </w:rPr>
            <w:t>6</w:t>
          </w:r>
        </w:p>
        <w:p w14:paraId="26B00325" w14:textId="77777777" w:rsidR="00AC56DC" w:rsidRPr="00554CEB" w:rsidRDefault="00000000" w:rsidP="00AC56DC">
          <w:pPr>
            <w:pStyle w:val="TOC1"/>
            <w:spacing w:before="120" w:after="240" w:line="276" w:lineRule="auto"/>
            <w:rPr>
              <w:rFonts w:ascii="Arial" w:hAnsi="Arial" w:cs="Arial"/>
            </w:rPr>
          </w:pPr>
          <w:hyperlink w:anchor="_Equality,_Diversity_and" w:history="1">
            <w:r w:rsidR="00AC56DC" w:rsidRPr="00554CEB">
              <w:rPr>
                <w:rStyle w:val="Hyperlink"/>
                <w:rFonts w:ascii="Arial" w:hAnsi="Arial" w:cs="Arial"/>
                <w:color w:val="auto"/>
                <w:u w:val="none"/>
              </w:rPr>
              <w:t>Appendix A: Equality Impact Assessment Template</w:t>
            </w:r>
            <w:r w:rsidR="00AC56DC" w:rsidRPr="00554CEB">
              <w:rPr>
                <w:rStyle w:val="Hyperlink"/>
                <w:rFonts w:ascii="Arial" w:hAnsi="Arial" w:cs="Arial"/>
                <w:color w:val="auto"/>
                <w:u w:val="none"/>
              </w:rPr>
              <w:ptab w:relativeTo="margin" w:alignment="right" w:leader="dot"/>
            </w:r>
          </w:hyperlink>
          <w:r w:rsidR="00AC56DC">
            <w:rPr>
              <w:rFonts w:ascii="Arial" w:hAnsi="Arial" w:cs="Arial"/>
            </w:rPr>
            <w:t>7</w:t>
          </w:r>
        </w:p>
        <w:p w14:paraId="497578E9" w14:textId="77777777" w:rsidR="00AC56DC" w:rsidRPr="00FC61EF" w:rsidRDefault="00000000" w:rsidP="00AC56DC">
          <w:pPr>
            <w:pStyle w:val="TOC3"/>
            <w:spacing w:before="120" w:after="240" w:line="276" w:lineRule="auto"/>
            <w:ind w:left="0"/>
          </w:pPr>
        </w:p>
      </w:sdtContent>
    </w:sdt>
    <w:p w14:paraId="3AAC4DA6" w14:textId="77777777" w:rsidR="00AC56DC" w:rsidRDefault="00AC56DC" w:rsidP="00AC56DC">
      <w:pPr>
        <w:rPr>
          <w:rFonts w:ascii="Arial" w:eastAsia="Times New Roman" w:hAnsi="Arial" w:cs="Arial"/>
          <w:b/>
          <w:bCs/>
          <w:kern w:val="0"/>
          <w:sz w:val="100"/>
          <w:szCs w:val="100"/>
        </w:rPr>
      </w:pPr>
      <w:r>
        <w:rPr>
          <w:b/>
          <w:bCs/>
          <w:sz w:val="100"/>
          <w:szCs w:val="100"/>
        </w:rPr>
        <w:br w:type="page"/>
      </w:r>
    </w:p>
    <w:p w14:paraId="7F2BAC52" w14:textId="77777777" w:rsidR="00AC56DC" w:rsidRPr="006D6470" w:rsidRDefault="00AC56DC" w:rsidP="00AC56DC">
      <w:pPr>
        <w:pStyle w:val="Heading1"/>
        <w:spacing w:before="0" w:line="276" w:lineRule="auto"/>
        <w:rPr>
          <w:rFonts w:ascii="Arial" w:hAnsi="Arial" w:cs="Arial"/>
          <w:b/>
          <w:bCs/>
          <w:color w:val="auto"/>
        </w:rPr>
      </w:pPr>
      <w:bookmarkStart w:id="0" w:name="_Introduction"/>
      <w:bookmarkEnd w:id="0"/>
      <w:r>
        <w:rPr>
          <w:rFonts w:ascii="Arial" w:hAnsi="Arial" w:cs="Arial"/>
          <w:b/>
          <w:bCs/>
          <w:color w:val="auto"/>
          <w:sz w:val="36"/>
          <w:szCs w:val="36"/>
        </w:rPr>
        <w:lastRenderedPageBreak/>
        <w:t>What is an Equality Impact Assessment (EIA) and why do we need to complete one?</w:t>
      </w:r>
    </w:p>
    <w:p w14:paraId="497ECFE2"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For Scottish universities, EIAs are a legal requirement under </w:t>
      </w:r>
      <w:r w:rsidRPr="006A5D90">
        <w:rPr>
          <w:rFonts w:ascii="Arial" w:hAnsi="Arial" w:cs="Arial"/>
          <w:b/>
          <w:bCs/>
          <w:sz w:val="24"/>
          <w:szCs w:val="24"/>
        </w:rPr>
        <w:t xml:space="preserve">the </w:t>
      </w:r>
      <w:hyperlink r:id="rId7" w:history="1">
        <w:r w:rsidRPr="006A5D90">
          <w:rPr>
            <w:rStyle w:val="Hyperlink"/>
            <w:rFonts w:ascii="Arial" w:hAnsi="Arial" w:cs="Arial"/>
            <w:b/>
            <w:bCs/>
            <w:color w:val="auto"/>
            <w:sz w:val="24"/>
            <w:szCs w:val="24"/>
            <w:u w:val="none"/>
          </w:rPr>
          <w:t>Equality Act 2010 (Specific Duties) (Scotland) Regulations 2012</w:t>
        </w:r>
      </w:hyperlink>
      <w:r w:rsidRPr="006A5D90">
        <w:rPr>
          <w:rFonts w:ascii="Arial" w:hAnsi="Arial" w:cs="Arial"/>
          <w:b/>
          <w:bCs/>
          <w:sz w:val="24"/>
          <w:szCs w:val="24"/>
        </w:rPr>
        <w:t>.</w:t>
      </w:r>
      <w:r w:rsidRPr="006D6470">
        <w:rPr>
          <w:rFonts w:ascii="Arial" w:hAnsi="Arial" w:cs="Arial"/>
          <w:sz w:val="24"/>
          <w:szCs w:val="24"/>
        </w:rPr>
        <w:t xml:space="preserve"> Universities are required to have “due regard” to the three main needs of the general equality duty:</w:t>
      </w:r>
    </w:p>
    <w:p w14:paraId="20F9E1F4" w14:textId="77777777" w:rsidR="00AC56DC" w:rsidRPr="006D6470" w:rsidRDefault="00AC56DC" w:rsidP="00AC56DC">
      <w:pPr>
        <w:spacing w:after="0" w:line="276" w:lineRule="auto"/>
        <w:rPr>
          <w:rFonts w:ascii="Arial" w:hAnsi="Arial" w:cs="Arial"/>
          <w:sz w:val="24"/>
          <w:szCs w:val="24"/>
        </w:rPr>
      </w:pPr>
    </w:p>
    <w:p w14:paraId="2D5E00BE" w14:textId="77777777" w:rsidR="00AC56DC" w:rsidRPr="006D6470" w:rsidRDefault="00AC56DC" w:rsidP="00AC56DC">
      <w:pPr>
        <w:pStyle w:val="ListParagraph"/>
        <w:numPr>
          <w:ilvl w:val="0"/>
          <w:numId w:val="1"/>
        </w:numPr>
        <w:spacing w:after="0" w:line="276" w:lineRule="auto"/>
        <w:rPr>
          <w:rFonts w:ascii="Arial" w:hAnsi="Arial" w:cs="Arial"/>
          <w:sz w:val="24"/>
          <w:szCs w:val="24"/>
        </w:rPr>
      </w:pPr>
      <w:r w:rsidRPr="006D6470">
        <w:rPr>
          <w:rFonts w:ascii="Arial" w:hAnsi="Arial" w:cs="Arial"/>
          <w:sz w:val="24"/>
          <w:szCs w:val="24"/>
        </w:rPr>
        <w:t xml:space="preserve">Eliminate unlawful discrimination, harassment and victimisation and other conduct prohibited by the </w:t>
      </w:r>
      <w:hyperlink r:id="rId8" w:history="1">
        <w:r w:rsidRPr="006A5D90">
          <w:rPr>
            <w:rStyle w:val="Hyperlink"/>
            <w:rFonts w:ascii="Arial" w:hAnsi="Arial" w:cs="Arial"/>
            <w:b/>
            <w:bCs/>
            <w:color w:val="auto"/>
            <w:sz w:val="24"/>
            <w:szCs w:val="24"/>
            <w:u w:val="none"/>
          </w:rPr>
          <w:t>Equality Act 2010</w:t>
        </w:r>
      </w:hyperlink>
    </w:p>
    <w:p w14:paraId="0A4F4E38" w14:textId="77777777" w:rsidR="00AC56DC" w:rsidRPr="006D6470" w:rsidRDefault="00AC56DC" w:rsidP="00AC56DC">
      <w:pPr>
        <w:pStyle w:val="ListParagraph"/>
        <w:numPr>
          <w:ilvl w:val="0"/>
          <w:numId w:val="1"/>
        </w:numPr>
        <w:spacing w:after="0" w:line="276" w:lineRule="auto"/>
        <w:rPr>
          <w:rFonts w:ascii="Arial" w:hAnsi="Arial" w:cs="Arial"/>
          <w:sz w:val="24"/>
          <w:szCs w:val="24"/>
        </w:rPr>
      </w:pPr>
      <w:r w:rsidRPr="006D6470">
        <w:rPr>
          <w:rFonts w:ascii="Arial" w:hAnsi="Arial" w:cs="Arial"/>
          <w:sz w:val="24"/>
          <w:szCs w:val="24"/>
        </w:rPr>
        <w:t xml:space="preserve">Advance equality of opportunity between persons who share a relevant </w:t>
      </w:r>
      <w:hyperlink r:id="rId9" w:history="1">
        <w:r w:rsidRPr="006A5D90">
          <w:rPr>
            <w:rStyle w:val="Hyperlink"/>
            <w:rFonts w:ascii="Arial" w:hAnsi="Arial" w:cs="Arial"/>
            <w:b/>
            <w:bCs/>
            <w:color w:val="auto"/>
            <w:sz w:val="24"/>
            <w:szCs w:val="24"/>
            <w:u w:val="none"/>
          </w:rPr>
          <w:t>protected characteristic</w:t>
        </w:r>
      </w:hyperlink>
      <w:r w:rsidRPr="006D6470">
        <w:rPr>
          <w:rFonts w:ascii="Arial" w:hAnsi="Arial" w:cs="Arial"/>
          <w:sz w:val="24"/>
          <w:szCs w:val="24"/>
        </w:rPr>
        <w:t xml:space="preserve"> and persons who do not share </w:t>
      </w:r>
      <w:proofErr w:type="gramStart"/>
      <w:r w:rsidRPr="006D6470">
        <w:rPr>
          <w:rFonts w:ascii="Arial" w:hAnsi="Arial" w:cs="Arial"/>
          <w:sz w:val="24"/>
          <w:szCs w:val="24"/>
        </w:rPr>
        <w:t>it</w:t>
      </w:r>
      <w:proofErr w:type="gramEnd"/>
    </w:p>
    <w:p w14:paraId="1F7881FA" w14:textId="77777777" w:rsidR="00AC56DC" w:rsidRPr="006D6470" w:rsidRDefault="00AC56DC" w:rsidP="00AC56DC">
      <w:pPr>
        <w:pStyle w:val="ListParagraph"/>
        <w:numPr>
          <w:ilvl w:val="0"/>
          <w:numId w:val="1"/>
        </w:numPr>
        <w:spacing w:after="0" w:line="276" w:lineRule="auto"/>
        <w:rPr>
          <w:rFonts w:ascii="Arial" w:hAnsi="Arial" w:cs="Arial"/>
          <w:sz w:val="24"/>
          <w:szCs w:val="24"/>
        </w:rPr>
      </w:pPr>
      <w:r w:rsidRPr="006D6470">
        <w:rPr>
          <w:rFonts w:ascii="Arial" w:hAnsi="Arial" w:cs="Arial"/>
          <w:sz w:val="24"/>
          <w:szCs w:val="24"/>
        </w:rPr>
        <w:t xml:space="preserve">Foster good relations between people who share a </w:t>
      </w:r>
      <w:hyperlink r:id="rId10" w:history="1">
        <w:r w:rsidRPr="006A5D90">
          <w:rPr>
            <w:rStyle w:val="Hyperlink"/>
            <w:rFonts w:ascii="Arial" w:hAnsi="Arial" w:cs="Arial"/>
            <w:color w:val="auto"/>
            <w:sz w:val="24"/>
            <w:szCs w:val="24"/>
            <w:u w:val="none"/>
          </w:rPr>
          <w:t>protected characteristic</w:t>
        </w:r>
      </w:hyperlink>
      <w:r w:rsidRPr="006D6470">
        <w:rPr>
          <w:rFonts w:ascii="Arial" w:hAnsi="Arial" w:cs="Arial"/>
          <w:sz w:val="24"/>
          <w:szCs w:val="24"/>
        </w:rPr>
        <w:t xml:space="preserve"> under the </w:t>
      </w:r>
      <w:hyperlink r:id="rId11" w:history="1">
        <w:r w:rsidRPr="006A5D90">
          <w:rPr>
            <w:rStyle w:val="Hyperlink"/>
            <w:rFonts w:ascii="Arial" w:hAnsi="Arial" w:cs="Arial"/>
            <w:color w:val="auto"/>
            <w:sz w:val="24"/>
            <w:szCs w:val="24"/>
            <w:u w:val="none"/>
          </w:rPr>
          <w:t>Equality Act 2010</w:t>
        </w:r>
      </w:hyperlink>
      <w:r w:rsidRPr="006D6470">
        <w:rPr>
          <w:rFonts w:ascii="Arial" w:hAnsi="Arial" w:cs="Arial"/>
          <w:sz w:val="24"/>
          <w:szCs w:val="24"/>
        </w:rPr>
        <w:t xml:space="preserve"> and those who do not share it</w:t>
      </w:r>
    </w:p>
    <w:p w14:paraId="6D1F202B" w14:textId="77777777" w:rsidR="00AC56DC" w:rsidRPr="006D6470" w:rsidRDefault="00AC56DC" w:rsidP="00AC56DC">
      <w:pPr>
        <w:spacing w:after="0" w:line="276" w:lineRule="auto"/>
        <w:rPr>
          <w:rFonts w:ascii="Arial" w:hAnsi="Arial" w:cs="Arial"/>
          <w:sz w:val="24"/>
          <w:szCs w:val="24"/>
        </w:rPr>
      </w:pPr>
    </w:p>
    <w:p w14:paraId="5E221558"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The Equality Act 2010 prohibits discrimination on the grounds of the following nine protected characteristics:</w:t>
      </w:r>
    </w:p>
    <w:p w14:paraId="5C99B765" w14:textId="77777777" w:rsidR="00AC56DC" w:rsidRPr="006D6470" w:rsidRDefault="00AC56DC" w:rsidP="00AC56DC">
      <w:pPr>
        <w:spacing w:after="0" w:line="276" w:lineRule="auto"/>
        <w:rPr>
          <w:rFonts w:ascii="Arial" w:hAnsi="Arial" w:cs="Arial"/>
          <w:sz w:val="24"/>
          <w:szCs w:val="24"/>
        </w:rPr>
      </w:pPr>
    </w:p>
    <w:p w14:paraId="101D8326"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Age</w:t>
      </w:r>
    </w:p>
    <w:p w14:paraId="573CFA08"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Disability</w:t>
      </w:r>
    </w:p>
    <w:p w14:paraId="5950EBB5"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Gender reassignment</w:t>
      </w:r>
    </w:p>
    <w:p w14:paraId="106F60B0"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Marriage or civil partnership</w:t>
      </w:r>
    </w:p>
    <w:p w14:paraId="1BDD02ED"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 xml:space="preserve">Pregnancy or maternity </w:t>
      </w:r>
    </w:p>
    <w:p w14:paraId="08C6006A"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 xml:space="preserve">Race </w:t>
      </w:r>
    </w:p>
    <w:p w14:paraId="2F0A8C78"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Religion and Belief</w:t>
      </w:r>
    </w:p>
    <w:p w14:paraId="42BBA6A5"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Sex</w:t>
      </w:r>
    </w:p>
    <w:p w14:paraId="33F4D39F" w14:textId="77777777" w:rsidR="00AC56DC" w:rsidRPr="006D6470" w:rsidRDefault="00AC56DC" w:rsidP="00AC56DC">
      <w:pPr>
        <w:pStyle w:val="ListParagraph"/>
        <w:numPr>
          <w:ilvl w:val="0"/>
          <w:numId w:val="3"/>
        </w:numPr>
        <w:spacing w:after="0" w:line="276" w:lineRule="auto"/>
        <w:rPr>
          <w:rFonts w:ascii="Arial" w:hAnsi="Arial" w:cs="Arial"/>
          <w:sz w:val="24"/>
          <w:szCs w:val="24"/>
        </w:rPr>
      </w:pPr>
      <w:r w:rsidRPr="006D6470">
        <w:rPr>
          <w:rFonts w:ascii="Arial" w:hAnsi="Arial" w:cs="Arial"/>
          <w:sz w:val="24"/>
          <w:szCs w:val="24"/>
        </w:rPr>
        <w:t>Sexual Orientation</w:t>
      </w:r>
    </w:p>
    <w:p w14:paraId="52673FC5" w14:textId="77777777" w:rsidR="00AC56DC" w:rsidRPr="006D6470" w:rsidRDefault="00AC56DC" w:rsidP="00AC56DC">
      <w:pPr>
        <w:pStyle w:val="ListParagraph"/>
        <w:spacing w:after="0" w:line="276" w:lineRule="auto"/>
        <w:rPr>
          <w:rFonts w:ascii="Arial" w:hAnsi="Arial" w:cs="Arial"/>
          <w:sz w:val="24"/>
          <w:szCs w:val="24"/>
        </w:rPr>
      </w:pPr>
    </w:p>
    <w:p w14:paraId="5E064D91"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In meeting the requirement to undertake Equality Impact Assessments</w:t>
      </w:r>
      <w:r>
        <w:rPr>
          <w:rFonts w:ascii="Arial" w:hAnsi="Arial" w:cs="Arial"/>
          <w:sz w:val="24"/>
          <w:szCs w:val="24"/>
        </w:rPr>
        <w:t xml:space="preserve"> (EIAs)</w:t>
      </w:r>
      <w:r w:rsidRPr="006D6470">
        <w:rPr>
          <w:rFonts w:ascii="Arial" w:hAnsi="Arial" w:cs="Arial"/>
          <w:sz w:val="24"/>
          <w:szCs w:val="24"/>
        </w:rPr>
        <w:t>, universities must:</w:t>
      </w:r>
    </w:p>
    <w:p w14:paraId="32DAAE2F" w14:textId="77777777" w:rsidR="00AC56DC" w:rsidRPr="006D6470" w:rsidRDefault="00AC56DC" w:rsidP="00AC56DC">
      <w:pPr>
        <w:spacing w:after="0" w:line="276" w:lineRule="auto"/>
        <w:rPr>
          <w:rFonts w:ascii="Arial" w:hAnsi="Arial" w:cs="Arial"/>
          <w:sz w:val="24"/>
          <w:szCs w:val="24"/>
        </w:rPr>
      </w:pPr>
    </w:p>
    <w:p w14:paraId="0A591A3E" w14:textId="2E570359" w:rsidR="00AC56DC" w:rsidRPr="006D6470" w:rsidRDefault="00AC56DC" w:rsidP="00AC56DC">
      <w:pPr>
        <w:pStyle w:val="ListParagraph"/>
        <w:numPr>
          <w:ilvl w:val="0"/>
          <w:numId w:val="2"/>
        </w:numPr>
        <w:spacing w:after="0" w:line="276" w:lineRule="auto"/>
        <w:rPr>
          <w:rFonts w:ascii="Arial" w:hAnsi="Arial" w:cs="Arial"/>
          <w:sz w:val="24"/>
          <w:szCs w:val="24"/>
        </w:rPr>
      </w:pPr>
      <w:r w:rsidRPr="006D6470">
        <w:rPr>
          <w:rFonts w:ascii="Arial" w:hAnsi="Arial" w:cs="Arial"/>
          <w:sz w:val="24"/>
          <w:szCs w:val="24"/>
        </w:rPr>
        <w:t xml:space="preserve">Assess the impact of </w:t>
      </w:r>
      <w:r>
        <w:rPr>
          <w:rFonts w:ascii="Arial" w:hAnsi="Arial" w:cs="Arial"/>
          <w:sz w:val="24"/>
          <w:szCs w:val="24"/>
        </w:rPr>
        <w:t xml:space="preserve">the </w:t>
      </w:r>
      <w:r w:rsidRPr="006D6470">
        <w:rPr>
          <w:rFonts w:ascii="Arial" w:hAnsi="Arial" w:cs="Arial"/>
          <w:sz w:val="24"/>
          <w:szCs w:val="24"/>
        </w:rPr>
        <w:t>developing</w:t>
      </w:r>
      <w:r>
        <w:rPr>
          <w:rFonts w:ascii="Arial" w:hAnsi="Arial" w:cs="Arial"/>
          <w:sz w:val="24"/>
          <w:szCs w:val="24"/>
        </w:rPr>
        <w:t xml:space="preserve"> and </w:t>
      </w:r>
      <w:r w:rsidRPr="006D6470">
        <w:rPr>
          <w:rFonts w:ascii="Arial" w:hAnsi="Arial" w:cs="Arial"/>
          <w:sz w:val="24"/>
          <w:szCs w:val="24"/>
        </w:rPr>
        <w:t xml:space="preserve">revising of </w:t>
      </w:r>
      <w:r>
        <w:rPr>
          <w:rFonts w:ascii="Arial" w:hAnsi="Arial" w:cs="Arial"/>
          <w:sz w:val="24"/>
          <w:szCs w:val="24"/>
        </w:rPr>
        <w:t xml:space="preserve">functions, </w:t>
      </w:r>
      <w:proofErr w:type="gramStart"/>
      <w:r>
        <w:rPr>
          <w:rFonts w:ascii="Arial" w:hAnsi="Arial" w:cs="Arial"/>
          <w:sz w:val="24"/>
          <w:szCs w:val="24"/>
        </w:rPr>
        <w:t>activities</w:t>
      </w:r>
      <w:proofErr w:type="gramEnd"/>
      <w:r>
        <w:rPr>
          <w:rFonts w:ascii="Arial" w:hAnsi="Arial" w:cs="Arial"/>
          <w:sz w:val="24"/>
          <w:szCs w:val="24"/>
        </w:rPr>
        <w:t xml:space="preserve"> and decisions </w:t>
      </w:r>
      <w:r w:rsidRPr="006D6470">
        <w:rPr>
          <w:rFonts w:ascii="Arial" w:hAnsi="Arial" w:cs="Arial"/>
          <w:sz w:val="24"/>
          <w:szCs w:val="24"/>
        </w:rPr>
        <w:t xml:space="preserve">against </w:t>
      </w:r>
      <w:hyperlink r:id="rId12" w:history="1">
        <w:r w:rsidRPr="006A5D90">
          <w:rPr>
            <w:rStyle w:val="Hyperlink"/>
            <w:rFonts w:ascii="Arial" w:hAnsi="Arial" w:cs="Arial"/>
            <w:color w:val="auto"/>
            <w:sz w:val="24"/>
            <w:szCs w:val="24"/>
            <w:u w:val="none"/>
          </w:rPr>
          <w:t>protected characteristics</w:t>
        </w:r>
      </w:hyperlink>
      <w:r>
        <w:rPr>
          <w:rStyle w:val="Hyperlink"/>
          <w:rFonts w:ascii="Arial" w:hAnsi="Arial" w:cs="Arial"/>
          <w:color w:val="auto"/>
          <w:sz w:val="24"/>
          <w:szCs w:val="24"/>
          <w:u w:val="none"/>
        </w:rPr>
        <w:t>.</w:t>
      </w:r>
      <w:r w:rsidRPr="006D6470">
        <w:rPr>
          <w:rFonts w:ascii="Arial" w:hAnsi="Arial" w:cs="Arial"/>
          <w:sz w:val="24"/>
          <w:szCs w:val="24"/>
        </w:rPr>
        <w:t xml:space="preserve"> </w:t>
      </w:r>
      <w:r>
        <w:rPr>
          <w:rFonts w:ascii="Arial" w:hAnsi="Arial" w:cs="Arial"/>
          <w:sz w:val="24"/>
          <w:szCs w:val="24"/>
        </w:rPr>
        <w:t xml:space="preserve">This will be referred to as </w:t>
      </w:r>
      <w:r w:rsidRPr="006D6470">
        <w:rPr>
          <w:rFonts w:ascii="Arial" w:hAnsi="Arial" w:cs="Arial"/>
          <w:sz w:val="24"/>
          <w:szCs w:val="24"/>
        </w:rPr>
        <w:t>policies</w:t>
      </w:r>
      <w:r>
        <w:rPr>
          <w:rFonts w:ascii="Arial" w:hAnsi="Arial" w:cs="Arial"/>
          <w:sz w:val="24"/>
          <w:szCs w:val="24"/>
        </w:rPr>
        <w:t xml:space="preserve"> and</w:t>
      </w:r>
      <w:r w:rsidRPr="006D6470">
        <w:rPr>
          <w:rFonts w:ascii="Arial" w:hAnsi="Arial" w:cs="Arial"/>
          <w:sz w:val="24"/>
          <w:szCs w:val="24"/>
        </w:rPr>
        <w:t xml:space="preserve"> procedures </w:t>
      </w:r>
      <w:r>
        <w:rPr>
          <w:rFonts w:ascii="Arial" w:hAnsi="Arial" w:cs="Arial"/>
          <w:sz w:val="24"/>
          <w:szCs w:val="24"/>
        </w:rPr>
        <w:t xml:space="preserve">throughout the guidance and the Equality Impact Assessment </w:t>
      </w:r>
      <w:proofErr w:type="gramStart"/>
      <w:r>
        <w:rPr>
          <w:rFonts w:ascii="Arial" w:hAnsi="Arial" w:cs="Arial"/>
          <w:sz w:val="24"/>
          <w:szCs w:val="24"/>
        </w:rPr>
        <w:t>template</w:t>
      </w:r>
      <w:proofErr w:type="gramEnd"/>
    </w:p>
    <w:p w14:paraId="175075D9" w14:textId="77777777" w:rsidR="00AC56DC" w:rsidRPr="006D6470" w:rsidRDefault="00AC56DC" w:rsidP="00AC56DC">
      <w:pPr>
        <w:pStyle w:val="ListParagraph"/>
        <w:numPr>
          <w:ilvl w:val="0"/>
          <w:numId w:val="2"/>
        </w:numPr>
        <w:spacing w:after="0" w:line="276" w:lineRule="auto"/>
        <w:rPr>
          <w:rFonts w:ascii="Arial" w:hAnsi="Arial" w:cs="Arial"/>
          <w:sz w:val="24"/>
          <w:szCs w:val="24"/>
        </w:rPr>
      </w:pPr>
      <w:r w:rsidRPr="006D6470">
        <w:rPr>
          <w:rFonts w:ascii="Arial" w:hAnsi="Arial" w:cs="Arial"/>
          <w:sz w:val="24"/>
          <w:szCs w:val="24"/>
        </w:rPr>
        <w:t>Monitor their policies</w:t>
      </w:r>
      <w:r>
        <w:rPr>
          <w:rFonts w:ascii="Arial" w:hAnsi="Arial" w:cs="Arial"/>
          <w:sz w:val="24"/>
          <w:szCs w:val="24"/>
        </w:rPr>
        <w:t xml:space="preserve"> and procedures </w:t>
      </w:r>
      <w:r w:rsidRPr="006D6470">
        <w:rPr>
          <w:rFonts w:ascii="Arial" w:hAnsi="Arial" w:cs="Arial"/>
          <w:sz w:val="24"/>
          <w:szCs w:val="24"/>
        </w:rPr>
        <w:t xml:space="preserve">for any adverse impact on </w:t>
      </w:r>
      <w:hyperlink r:id="rId13" w:history="1">
        <w:r w:rsidRPr="006A5D90">
          <w:rPr>
            <w:rStyle w:val="Hyperlink"/>
            <w:rFonts w:ascii="Arial" w:hAnsi="Arial" w:cs="Arial"/>
            <w:color w:val="auto"/>
            <w:sz w:val="24"/>
            <w:szCs w:val="24"/>
            <w:u w:val="none"/>
          </w:rPr>
          <w:t>protected characteristics</w:t>
        </w:r>
      </w:hyperlink>
      <w:r w:rsidRPr="006D6470">
        <w:rPr>
          <w:rFonts w:ascii="Arial" w:hAnsi="Arial" w:cs="Arial"/>
          <w:sz w:val="24"/>
          <w:szCs w:val="24"/>
        </w:rPr>
        <w:t xml:space="preserve"> </w:t>
      </w:r>
    </w:p>
    <w:p w14:paraId="04C5B797" w14:textId="77777777" w:rsidR="00AC56DC" w:rsidRPr="006D6470" w:rsidRDefault="00AC56DC" w:rsidP="00AC56DC">
      <w:pPr>
        <w:pStyle w:val="ListParagraph"/>
        <w:numPr>
          <w:ilvl w:val="0"/>
          <w:numId w:val="2"/>
        </w:numPr>
        <w:spacing w:after="0" w:line="276" w:lineRule="auto"/>
        <w:rPr>
          <w:rFonts w:ascii="Arial" w:hAnsi="Arial" w:cs="Arial"/>
          <w:sz w:val="24"/>
          <w:szCs w:val="24"/>
        </w:rPr>
      </w:pPr>
      <w:r w:rsidRPr="006D6470">
        <w:rPr>
          <w:rFonts w:ascii="Arial" w:hAnsi="Arial" w:cs="Arial"/>
          <w:sz w:val="24"/>
          <w:szCs w:val="24"/>
        </w:rPr>
        <w:t xml:space="preserve">Publish the results of the </w:t>
      </w:r>
      <w:proofErr w:type="gramStart"/>
      <w:r w:rsidRPr="006D6470">
        <w:rPr>
          <w:rFonts w:ascii="Arial" w:hAnsi="Arial" w:cs="Arial"/>
          <w:sz w:val="24"/>
          <w:szCs w:val="24"/>
        </w:rPr>
        <w:t>assessment</w:t>
      </w:r>
      <w:proofErr w:type="gramEnd"/>
    </w:p>
    <w:p w14:paraId="3020C059" w14:textId="77777777" w:rsidR="00AC56DC" w:rsidRPr="006D6470" w:rsidRDefault="00AC56DC" w:rsidP="00AC56DC">
      <w:pPr>
        <w:spacing w:after="0" w:line="276" w:lineRule="auto"/>
        <w:rPr>
          <w:rFonts w:ascii="Arial" w:hAnsi="Arial" w:cs="Arial"/>
          <w:sz w:val="24"/>
          <w:szCs w:val="24"/>
        </w:rPr>
      </w:pPr>
    </w:p>
    <w:p w14:paraId="737FDB6A"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Effective equality and diversity impact assessment also assists in the identification and management of risk, particularly reputational, </w:t>
      </w:r>
      <w:proofErr w:type="gramStart"/>
      <w:r w:rsidRPr="006D6470">
        <w:rPr>
          <w:rFonts w:ascii="Arial" w:hAnsi="Arial" w:cs="Arial"/>
          <w:sz w:val="24"/>
          <w:szCs w:val="24"/>
        </w:rPr>
        <w:t>legal</w:t>
      </w:r>
      <w:proofErr w:type="gramEnd"/>
      <w:r w:rsidRPr="006D6470">
        <w:rPr>
          <w:rFonts w:ascii="Arial" w:hAnsi="Arial" w:cs="Arial"/>
          <w:sz w:val="24"/>
          <w:szCs w:val="24"/>
        </w:rPr>
        <w:t xml:space="preserve"> and financial risks relevant to policies</w:t>
      </w:r>
      <w:r>
        <w:rPr>
          <w:rFonts w:ascii="Arial" w:hAnsi="Arial" w:cs="Arial"/>
          <w:sz w:val="24"/>
          <w:szCs w:val="24"/>
        </w:rPr>
        <w:t xml:space="preserve"> or </w:t>
      </w:r>
      <w:r w:rsidRPr="006D6470">
        <w:rPr>
          <w:rFonts w:ascii="Arial" w:hAnsi="Arial" w:cs="Arial"/>
          <w:sz w:val="24"/>
          <w:szCs w:val="24"/>
        </w:rPr>
        <w:t>procedures.</w:t>
      </w:r>
    </w:p>
    <w:p w14:paraId="0B115D7C"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 </w:t>
      </w:r>
    </w:p>
    <w:p w14:paraId="343C07C8"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lastRenderedPageBreak/>
        <w:t>The University seeks to support staff and students where reasonable and practicable across a wider set of equality areas. These may include where staff and students identify with:</w:t>
      </w:r>
    </w:p>
    <w:p w14:paraId="7E036429" w14:textId="77777777" w:rsidR="00AC56DC" w:rsidRPr="006D6470" w:rsidRDefault="00AC56DC" w:rsidP="00AC56DC">
      <w:pPr>
        <w:pStyle w:val="ListParagraph"/>
        <w:spacing w:after="0" w:line="276" w:lineRule="auto"/>
        <w:rPr>
          <w:rFonts w:ascii="Arial" w:hAnsi="Arial" w:cs="Arial"/>
          <w:sz w:val="24"/>
          <w:szCs w:val="24"/>
        </w:rPr>
      </w:pPr>
    </w:p>
    <w:p w14:paraId="6326774C" w14:textId="77777777" w:rsidR="00AC56DC" w:rsidRPr="006D6470" w:rsidRDefault="00AC56DC" w:rsidP="00AC56DC">
      <w:pPr>
        <w:pStyle w:val="ListParagraph"/>
        <w:numPr>
          <w:ilvl w:val="0"/>
          <w:numId w:val="4"/>
        </w:numPr>
        <w:spacing w:after="0" w:line="276" w:lineRule="auto"/>
        <w:rPr>
          <w:rFonts w:ascii="Arial" w:hAnsi="Arial" w:cs="Arial"/>
          <w:sz w:val="24"/>
          <w:szCs w:val="24"/>
        </w:rPr>
      </w:pPr>
      <w:r w:rsidRPr="006D6470">
        <w:rPr>
          <w:rFonts w:ascii="Arial" w:hAnsi="Arial" w:cs="Arial"/>
          <w:sz w:val="24"/>
          <w:szCs w:val="24"/>
        </w:rPr>
        <w:t>Experience of being in the care system</w:t>
      </w:r>
    </w:p>
    <w:p w14:paraId="55BB88EE" w14:textId="77777777" w:rsidR="00AC56DC" w:rsidRPr="006D6470" w:rsidRDefault="00AC56DC" w:rsidP="00AC56DC">
      <w:pPr>
        <w:pStyle w:val="ListParagraph"/>
        <w:numPr>
          <w:ilvl w:val="0"/>
          <w:numId w:val="4"/>
        </w:numPr>
        <w:spacing w:after="0" w:line="276" w:lineRule="auto"/>
        <w:rPr>
          <w:rFonts w:ascii="Arial" w:hAnsi="Arial" w:cs="Arial"/>
          <w:sz w:val="24"/>
          <w:szCs w:val="24"/>
        </w:rPr>
      </w:pPr>
      <w:r w:rsidRPr="006D6470">
        <w:rPr>
          <w:rFonts w:ascii="Arial" w:hAnsi="Arial" w:cs="Arial"/>
          <w:sz w:val="24"/>
          <w:szCs w:val="24"/>
        </w:rPr>
        <w:t>Being estranged from family</w:t>
      </w:r>
    </w:p>
    <w:p w14:paraId="16810900" w14:textId="77777777" w:rsidR="00AC56DC" w:rsidRPr="006D6470" w:rsidRDefault="00AC56DC" w:rsidP="00AC56DC">
      <w:pPr>
        <w:pStyle w:val="ListParagraph"/>
        <w:numPr>
          <w:ilvl w:val="0"/>
          <w:numId w:val="4"/>
        </w:numPr>
        <w:spacing w:after="0" w:line="276" w:lineRule="auto"/>
        <w:rPr>
          <w:rFonts w:ascii="Arial" w:hAnsi="Arial" w:cs="Arial"/>
          <w:sz w:val="24"/>
          <w:szCs w:val="24"/>
        </w:rPr>
      </w:pPr>
      <w:r w:rsidRPr="006D6470">
        <w:rPr>
          <w:rFonts w:ascii="Arial" w:hAnsi="Arial" w:cs="Arial"/>
          <w:sz w:val="24"/>
          <w:szCs w:val="24"/>
        </w:rPr>
        <w:t xml:space="preserve">Being a refugee or asylum seeker </w:t>
      </w:r>
    </w:p>
    <w:p w14:paraId="6F43061C" w14:textId="77777777" w:rsidR="00AC56DC" w:rsidRPr="006D6470" w:rsidRDefault="00AC56DC" w:rsidP="00AC56DC">
      <w:pPr>
        <w:pStyle w:val="ListParagraph"/>
        <w:numPr>
          <w:ilvl w:val="0"/>
          <w:numId w:val="4"/>
        </w:numPr>
        <w:spacing w:after="0" w:line="276" w:lineRule="auto"/>
        <w:rPr>
          <w:rFonts w:ascii="Arial" w:hAnsi="Arial" w:cs="Arial"/>
          <w:sz w:val="24"/>
          <w:szCs w:val="24"/>
        </w:rPr>
      </w:pPr>
      <w:r w:rsidRPr="006D6470">
        <w:rPr>
          <w:rFonts w:ascii="Arial" w:hAnsi="Arial" w:cs="Arial"/>
          <w:sz w:val="24"/>
          <w:szCs w:val="24"/>
        </w:rPr>
        <w:t>Identifying with a particular socio-economic background</w:t>
      </w:r>
    </w:p>
    <w:p w14:paraId="794E5A74" w14:textId="77777777" w:rsidR="00AC56DC" w:rsidRPr="006D6470" w:rsidRDefault="00AC56DC" w:rsidP="00AC56DC">
      <w:pPr>
        <w:pStyle w:val="ListParagraph"/>
        <w:numPr>
          <w:ilvl w:val="0"/>
          <w:numId w:val="4"/>
        </w:numPr>
        <w:spacing w:after="0" w:line="276" w:lineRule="auto"/>
        <w:rPr>
          <w:rFonts w:ascii="Arial" w:hAnsi="Arial" w:cs="Arial"/>
          <w:sz w:val="24"/>
          <w:szCs w:val="24"/>
        </w:rPr>
      </w:pPr>
      <w:r w:rsidRPr="006D6470">
        <w:rPr>
          <w:rFonts w:ascii="Arial" w:hAnsi="Arial" w:cs="Arial"/>
          <w:sz w:val="24"/>
          <w:szCs w:val="24"/>
        </w:rPr>
        <w:t>Membership of a trade union</w:t>
      </w:r>
    </w:p>
    <w:p w14:paraId="4DF0FEC3" w14:textId="77777777" w:rsidR="00AC56DC" w:rsidRDefault="00AC56DC" w:rsidP="00AC56DC">
      <w:pPr>
        <w:pStyle w:val="BodyText"/>
        <w:spacing w:line="276" w:lineRule="auto"/>
        <w:jc w:val="left"/>
        <w:rPr>
          <w:sz w:val="24"/>
        </w:rPr>
      </w:pPr>
    </w:p>
    <w:p w14:paraId="316A6AF6" w14:textId="77777777" w:rsidR="00AC56DC" w:rsidRPr="006D6470" w:rsidRDefault="00AC56DC" w:rsidP="00AC56DC">
      <w:pPr>
        <w:pStyle w:val="BodyText"/>
        <w:spacing w:line="276" w:lineRule="auto"/>
        <w:jc w:val="left"/>
        <w:rPr>
          <w:sz w:val="24"/>
        </w:rPr>
      </w:pPr>
      <w:r w:rsidRPr="006D6470">
        <w:rPr>
          <w:sz w:val="24"/>
        </w:rPr>
        <w:t xml:space="preserve">The University takes a proactive approach to embedding and mainstreaming the principles of equality, diversity, and inclusion across all areas of work and study through </w:t>
      </w:r>
      <w:hyperlink r:id="rId14" w:history="1">
        <w:r w:rsidRPr="006A5D90">
          <w:rPr>
            <w:rStyle w:val="Hyperlink"/>
            <w:b/>
            <w:bCs/>
            <w:color w:val="auto"/>
            <w:sz w:val="24"/>
            <w:u w:val="none"/>
          </w:rPr>
          <w:t>Aberdeen 2040</w:t>
        </w:r>
      </w:hyperlink>
      <w:r w:rsidRPr="006D6470">
        <w:rPr>
          <w:sz w:val="24"/>
        </w:rPr>
        <w:t>, the University’s strategic plan.</w:t>
      </w:r>
    </w:p>
    <w:p w14:paraId="5A963D53" w14:textId="77777777" w:rsidR="00AC56DC" w:rsidRPr="006D6470" w:rsidRDefault="00AC56DC" w:rsidP="00AC56DC">
      <w:pPr>
        <w:spacing w:after="0" w:line="276" w:lineRule="auto"/>
        <w:rPr>
          <w:rFonts w:ascii="Arial" w:hAnsi="Arial" w:cs="Arial"/>
          <w:bCs/>
          <w:sz w:val="24"/>
          <w:szCs w:val="24"/>
        </w:rPr>
      </w:pPr>
    </w:p>
    <w:p w14:paraId="50BB90D0"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The University of Aberdeen is committed to equality, diversity, and inclusion and to creating a working and learning environment that is inclusive and welcoming. It is vital if we are to translate that commitment into practice, that the University ensures that its policies</w:t>
      </w:r>
      <w:r>
        <w:rPr>
          <w:rFonts w:ascii="Arial" w:hAnsi="Arial" w:cs="Arial"/>
          <w:sz w:val="24"/>
          <w:szCs w:val="24"/>
        </w:rPr>
        <w:t xml:space="preserve"> </w:t>
      </w:r>
      <w:r w:rsidRPr="006D6470">
        <w:rPr>
          <w:rFonts w:ascii="Arial" w:hAnsi="Arial" w:cs="Arial"/>
          <w:sz w:val="24"/>
          <w:szCs w:val="24"/>
        </w:rPr>
        <w:t xml:space="preserve">and procedures are not directly or indirectly discriminatory. </w:t>
      </w:r>
    </w:p>
    <w:p w14:paraId="46AF5879" w14:textId="77777777" w:rsidR="00AC56DC" w:rsidRDefault="00AC56DC" w:rsidP="00AC56DC">
      <w:pPr>
        <w:tabs>
          <w:tab w:val="left" w:pos="6030"/>
        </w:tabs>
        <w:spacing w:after="0" w:line="276" w:lineRule="auto"/>
        <w:rPr>
          <w:rFonts w:ascii="Arial" w:hAnsi="Arial" w:cs="Arial"/>
        </w:rPr>
      </w:pPr>
    </w:p>
    <w:p w14:paraId="4FE1FCC9" w14:textId="77777777" w:rsidR="00AC56DC" w:rsidRDefault="00AC56DC" w:rsidP="00AC56DC">
      <w:pPr>
        <w:spacing w:after="0" w:line="276" w:lineRule="auto"/>
        <w:rPr>
          <w:b/>
          <w:bCs/>
        </w:rPr>
      </w:pPr>
      <w:r w:rsidRPr="00262283">
        <w:rPr>
          <w:rFonts w:ascii="Arial" w:hAnsi="Arial" w:cs="Arial"/>
          <w:b/>
          <w:bCs/>
          <w:sz w:val="28"/>
          <w:szCs w:val="28"/>
        </w:rPr>
        <w:t>Intersectionality</w:t>
      </w:r>
      <w:r w:rsidRPr="00262283">
        <w:rPr>
          <w:b/>
          <w:bCs/>
        </w:rPr>
        <w:tab/>
      </w:r>
    </w:p>
    <w:p w14:paraId="2BAB9B44" w14:textId="77777777" w:rsidR="00AC56DC" w:rsidRDefault="00AC56DC" w:rsidP="00AC56DC">
      <w:pPr>
        <w:spacing w:after="0" w:line="276" w:lineRule="auto"/>
        <w:rPr>
          <w:rFonts w:ascii="Arial" w:hAnsi="Arial" w:cs="Arial"/>
          <w:sz w:val="24"/>
          <w:szCs w:val="24"/>
        </w:rPr>
      </w:pPr>
      <w:r>
        <w:rPr>
          <w:rFonts w:ascii="Arial" w:hAnsi="Arial" w:cs="Arial"/>
          <w:sz w:val="24"/>
          <w:szCs w:val="24"/>
        </w:rPr>
        <w:t xml:space="preserve">An intersectional approach is taken to Equality, </w:t>
      </w:r>
      <w:proofErr w:type="gramStart"/>
      <w:r>
        <w:rPr>
          <w:rFonts w:ascii="Arial" w:hAnsi="Arial" w:cs="Arial"/>
          <w:sz w:val="24"/>
          <w:szCs w:val="24"/>
        </w:rPr>
        <w:t>Diversity</w:t>
      </w:r>
      <w:proofErr w:type="gramEnd"/>
      <w:r>
        <w:rPr>
          <w:rFonts w:ascii="Arial" w:hAnsi="Arial" w:cs="Arial"/>
          <w:sz w:val="24"/>
          <w:szCs w:val="24"/>
        </w:rPr>
        <w:t xml:space="preserve"> and Inclusion (EDI) activities by the University.  Intersectionality is a concept that recognises how social identities, such as race, gender, </w:t>
      </w:r>
      <w:proofErr w:type="gramStart"/>
      <w:r>
        <w:rPr>
          <w:rFonts w:ascii="Arial" w:hAnsi="Arial" w:cs="Arial"/>
          <w:sz w:val="24"/>
          <w:szCs w:val="24"/>
        </w:rPr>
        <w:t>sexuality</w:t>
      </w:r>
      <w:proofErr w:type="gramEnd"/>
      <w:r>
        <w:rPr>
          <w:rFonts w:ascii="Arial" w:hAnsi="Arial" w:cs="Arial"/>
          <w:sz w:val="24"/>
          <w:szCs w:val="24"/>
        </w:rPr>
        <w:t xml:space="preserve"> and socio-economic group, intersect and influence each other, creating unique experiences and forms of discrimination and privilege</w:t>
      </w:r>
      <w:r w:rsidRPr="00E71D64">
        <w:rPr>
          <w:rFonts w:ascii="Arial" w:hAnsi="Arial" w:cs="Arial"/>
          <w:sz w:val="24"/>
          <w:szCs w:val="24"/>
        </w:rPr>
        <w:t xml:space="preserve">. </w:t>
      </w:r>
      <w:r w:rsidRPr="00262283">
        <w:rPr>
          <w:rStyle w:val="normaltextrun"/>
          <w:rFonts w:ascii="Arial" w:hAnsi="Arial" w:cs="Arial"/>
          <w:color w:val="000000"/>
          <w:sz w:val="24"/>
          <w:szCs w:val="24"/>
        </w:rPr>
        <w:t xml:space="preserve">Taking cognisance of </w:t>
      </w:r>
      <w:r w:rsidRPr="00262283">
        <w:rPr>
          <w:rStyle w:val="findhit"/>
          <w:rFonts w:ascii="Arial" w:hAnsi="Arial" w:cs="Arial"/>
          <w:color w:val="000000"/>
          <w:sz w:val="24"/>
          <w:szCs w:val="24"/>
        </w:rPr>
        <w:t>inter</w:t>
      </w:r>
      <w:r w:rsidRPr="00262283">
        <w:rPr>
          <w:rStyle w:val="normaltextrun"/>
          <w:rFonts w:ascii="Arial" w:hAnsi="Arial" w:cs="Arial"/>
          <w:color w:val="000000"/>
          <w:sz w:val="24"/>
          <w:szCs w:val="24"/>
        </w:rPr>
        <w:t xml:space="preserve">sectionality has supported </w:t>
      </w:r>
      <w:r>
        <w:rPr>
          <w:rStyle w:val="normaltextrun"/>
          <w:rFonts w:ascii="Arial" w:hAnsi="Arial" w:cs="Arial"/>
          <w:color w:val="000000"/>
          <w:sz w:val="24"/>
          <w:szCs w:val="24"/>
        </w:rPr>
        <w:t>the University</w:t>
      </w:r>
      <w:r w:rsidRPr="00262283">
        <w:rPr>
          <w:rStyle w:val="normaltextrun"/>
          <w:rFonts w:ascii="Arial" w:hAnsi="Arial" w:cs="Arial"/>
          <w:color w:val="000000"/>
          <w:sz w:val="24"/>
          <w:szCs w:val="24"/>
        </w:rPr>
        <w:t xml:space="preserve"> in addressing the unique challenges our diverse community face, encouraged meaningful communication and enabled collaboration across the University.</w:t>
      </w:r>
    </w:p>
    <w:p w14:paraId="717036EC" w14:textId="77777777" w:rsidR="00AC56DC" w:rsidRPr="00262283" w:rsidRDefault="00AC56DC" w:rsidP="00AC56DC">
      <w:pPr>
        <w:spacing w:after="0" w:line="276" w:lineRule="auto"/>
        <w:rPr>
          <w:rFonts w:ascii="Arial" w:hAnsi="Arial" w:cs="Arial"/>
          <w:sz w:val="24"/>
          <w:szCs w:val="24"/>
        </w:rPr>
      </w:pPr>
    </w:p>
    <w:p w14:paraId="78F7F6EA" w14:textId="77777777" w:rsidR="00AC56DC" w:rsidRPr="006D6470" w:rsidRDefault="00AC56DC" w:rsidP="00AC56DC">
      <w:pPr>
        <w:pStyle w:val="Heading2"/>
        <w:spacing w:line="276" w:lineRule="auto"/>
        <w:rPr>
          <w:sz w:val="28"/>
          <w:szCs w:val="28"/>
        </w:rPr>
      </w:pPr>
      <w:bookmarkStart w:id="1" w:name="_The_Equality,_Diversity,"/>
      <w:bookmarkEnd w:id="1"/>
      <w:r w:rsidRPr="006D6470">
        <w:rPr>
          <w:sz w:val="28"/>
          <w:szCs w:val="28"/>
        </w:rPr>
        <w:t>The Equality, Diversity, and Inclusion Team</w:t>
      </w:r>
    </w:p>
    <w:p w14:paraId="5BC86086"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The Equality, Diversity and Inclusion Team’s role is to advise and support authors when requested to do so to ensure that the process is accurate and correctly assesses the impact of the policies</w:t>
      </w:r>
      <w:r>
        <w:rPr>
          <w:rFonts w:ascii="Arial" w:hAnsi="Arial" w:cs="Arial"/>
          <w:sz w:val="24"/>
          <w:szCs w:val="24"/>
        </w:rPr>
        <w:t xml:space="preserve"> and procedures</w:t>
      </w:r>
      <w:r w:rsidRPr="006D6470">
        <w:rPr>
          <w:rFonts w:ascii="Arial" w:hAnsi="Arial" w:cs="Arial"/>
          <w:sz w:val="24"/>
          <w:szCs w:val="24"/>
        </w:rPr>
        <w:t xml:space="preserve"> being examined. This role additionally includes a requirement to ensure that an accurate audit trail is maintained regarding the process and that the result of the assessment process is published in accordance with </w:t>
      </w:r>
      <w:proofErr w:type="gramStart"/>
      <w:r w:rsidRPr="006D6470">
        <w:rPr>
          <w:rFonts w:ascii="Arial" w:hAnsi="Arial" w:cs="Arial"/>
          <w:sz w:val="24"/>
          <w:szCs w:val="24"/>
        </w:rPr>
        <w:t>University</w:t>
      </w:r>
      <w:proofErr w:type="gramEnd"/>
      <w:r w:rsidRPr="006D6470">
        <w:rPr>
          <w:rFonts w:ascii="Arial" w:hAnsi="Arial" w:cs="Arial"/>
          <w:sz w:val="24"/>
          <w:szCs w:val="24"/>
        </w:rPr>
        <w:t xml:space="preserve"> policy. The Equality, Diversity, and Inclusion Team can be contacted via </w:t>
      </w:r>
      <w:hyperlink r:id="rId15" w:history="1">
        <w:r w:rsidRPr="006A5D90">
          <w:rPr>
            <w:rStyle w:val="Hyperlink"/>
            <w:rFonts w:ascii="Arial" w:hAnsi="Arial" w:cs="Arial"/>
            <w:b/>
            <w:bCs/>
            <w:color w:val="000000" w:themeColor="text1"/>
            <w:sz w:val="24"/>
            <w:szCs w:val="24"/>
            <w:u w:val="none"/>
          </w:rPr>
          <w:t>edi@abdn.ac.uk</w:t>
        </w:r>
      </w:hyperlink>
      <w:r w:rsidRPr="006A5D90">
        <w:rPr>
          <w:rFonts w:ascii="Arial" w:hAnsi="Arial" w:cs="Arial"/>
          <w:color w:val="000000" w:themeColor="text1"/>
          <w:sz w:val="24"/>
          <w:szCs w:val="24"/>
        </w:rPr>
        <w:t>.</w:t>
      </w:r>
      <w:r w:rsidRPr="006D6470">
        <w:rPr>
          <w:rFonts w:ascii="Arial" w:hAnsi="Arial" w:cs="Arial"/>
          <w:sz w:val="24"/>
          <w:szCs w:val="24"/>
        </w:rPr>
        <w:t xml:space="preserve"> </w:t>
      </w:r>
    </w:p>
    <w:p w14:paraId="312BD5B7" w14:textId="77777777" w:rsidR="00AC56DC" w:rsidRPr="006D6470" w:rsidRDefault="00AC56DC" w:rsidP="00AC56DC">
      <w:pPr>
        <w:spacing w:after="0" w:line="276" w:lineRule="auto"/>
        <w:rPr>
          <w:rFonts w:ascii="Arial" w:hAnsi="Arial" w:cs="Arial"/>
        </w:rPr>
      </w:pPr>
      <w:r w:rsidRPr="006D6470">
        <w:rPr>
          <w:rFonts w:ascii="Arial" w:hAnsi="Arial" w:cs="Arial"/>
        </w:rPr>
        <w:br w:type="page"/>
      </w:r>
    </w:p>
    <w:p w14:paraId="79B28992" w14:textId="77777777" w:rsidR="00AC56DC" w:rsidRPr="006D6470" w:rsidRDefault="00AC56DC" w:rsidP="00AC56DC">
      <w:pPr>
        <w:pStyle w:val="Heading1"/>
        <w:spacing w:before="0" w:line="276" w:lineRule="auto"/>
        <w:rPr>
          <w:rFonts w:ascii="Arial" w:hAnsi="Arial" w:cs="Arial"/>
          <w:b/>
          <w:color w:val="auto"/>
        </w:rPr>
      </w:pPr>
      <w:bookmarkStart w:id="2" w:name="_Undertaking_an_Impact"/>
      <w:bookmarkEnd w:id="2"/>
      <w:r w:rsidRPr="006D6470">
        <w:rPr>
          <w:rFonts w:ascii="Arial" w:hAnsi="Arial" w:cs="Arial"/>
          <w:b/>
          <w:bCs/>
          <w:color w:val="auto"/>
          <w:sz w:val="36"/>
          <w:szCs w:val="36"/>
        </w:rPr>
        <w:lastRenderedPageBreak/>
        <w:t xml:space="preserve">Undertaking an </w:t>
      </w:r>
      <w:r w:rsidRPr="006D6470">
        <w:rPr>
          <w:rFonts w:ascii="Arial" w:hAnsi="Arial" w:cs="Arial"/>
          <w:b/>
          <w:color w:val="auto"/>
          <w:sz w:val="36"/>
          <w:szCs w:val="36"/>
        </w:rPr>
        <w:t>Impact Assessment</w:t>
      </w:r>
    </w:p>
    <w:p w14:paraId="515499CD" w14:textId="0400FC31" w:rsidR="00AC56DC" w:rsidRPr="006D6470" w:rsidRDefault="00984CDA" w:rsidP="00AC56DC">
      <w:pPr>
        <w:spacing w:after="0" w:line="276" w:lineRule="auto"/>
        <w:rPr>
          <w:rFonts w:ascii="Arial" w:hAnsi="Arial" w:cs="Arial"/>
          <w:bCs/>
          <w:sz w:val="24"/>
          <w:szCs w:val="24"/>
        </w:rPr>
      </w:pPr>
      <w:r>
        <w:rPr>
          <w:rFonts w:ascii="Arial" w:hAnsi="Arial" w:cs="Arial"/>
          <w:bCs/>
          <w:sz w:val="24"/>
          <w:szCs w:val="24"/>
        </w:rPr>
        <w:t>Revised or newly developed policies a</w:t>
      </w:r>
      <w:r w:rsidR="00D85A4F">
        <w:rPr>
          <w:rFonts w:ascii="Arial" w:hAnsi="Arial" w:cs="Arial"/>
          <w:bCs/>
          <w:sz w:val="24"/>
          <w:szCs w:val="24"/>
        </w:rPr>
        <w:t>nd</w:t>
      </w:r>
      <w:r>
        <w:rPr>
          <w:rFonts w:ascii="Arial" w:hAnsi="Arial" w:cs="Arial"/>
          <w:bCs/>
          <w:sz w:val="24"/>
          <w:szCs w:val="24"/>
        </w:rPr>
        <w:t xml:space="preserve"> procedures require completion of an Equality Impact Assessment as part of the approval process</w:t>
      </w:r>
      <w:r w:rsidR="00B24D2B">
        <w:rPr>
          <w:rFonts w:ascii="Arial" w:hAnsi="Arial" w:cs="Arial"/>
          <w:bCs/>
          <w:sz w:val="24"/>
          <w:szCs w:val="24"/>
        </w:rPr>
        <w:t xml:space="preserve">. An </w:t>
      </w:r>
      <w:r w:rsidR="00AC56DC" w:rsidRPr="006D6470">
        <w:rPr>
          <w:rFonts w:ascii="Arial" w:hAnsi="Arial" w:cs="Arial"/>
          <w:bCs/>
          <w:sz w:val="24"/>
          <w:szCs w:val="24"/>
        </w:rPr>
        <w:t xml:space="preserve">impact assessment should be viewed as an integral </w:t>
      </w:r>
      <w:r w:rsidR="00AC56DC">
        <w:rPr>
          <w:rFonts w:ascii="Arial" w:hAnsi="Arial" w:cs="Arial"/>
          <w:bCs/>
          <w:sz w:val="24"/>
          <w:szCs w:val="24"/>
        </w:rPr>
        <w:t>part</w:t>
      </w:r>
      <w:r w:rsidR="00AC56DC" w:rsidRPr="006D6470">
        <w:rPr>
          <w:rFonts w:ascii="Arial" w:hAnsi="Arial" w:cs="Arial"/>
          <w:bCs/>
          <w:sz w:val="24"/>
          <w:szCs w:val="24"/>
        </w:rPr>
        <w:t xml:space="preserve"> of </w:t>
      </w:r>
      <w:r w:rsidR="00AC56DC">
        <w:rPr>
          <w:rFonts w:ascii="Arial" w:hAnsi="Arial" w:cs="Arial"/>
          <w:bCs/>
          <w:sz w:val="24"/>
          <w:szCs w:val="24"/>
        </w:rPr>
        <w:t>th</w:t>
      </w:r>
      <w:r w:rsidR="00110B47">
        <w:rPr>
          <w:rFonts w:ascii="Arial" w:hAnsi="Arial" w:cs="Arial"/>
          <w:bCs/>
          <w:sz w:val="24"/>
          <w:szCs w:val="24"/>
        </w:rPr>
        <w:t>is</w:t>
      </w:r>
      <w:r w:rsidR="00E321D6">
        <w:rPr>
          <w:rFonts w:ascii="Arial" w:hAnsi="Arial" w:cs="Arial"/>
          <w:bCs/>
          <w:sz w:val="24"/>
          <w:szCs w:val="24"/>
        </w:rPr>
        <w:t xml:space="preserve"> </w:t>
      </w:r>
      <w:r w:rsidR="00AC56DC">
        <w:rPr>
          <w:rFonts w:ascii="Arial" w:hAnsi="Arial" w:cs="Arial"/>
          <w:bCs/>
          <w:sz w:val="24"/>
          <w:szCs w:val="24"/>
        </w:rPr>
        <w:t>process</w:t>
      </w:r>
      <w:r w:rsidR="00AC56DC" w:rsidRPr="006D6470">
        <w:rPr>
          <w:rFonts w:ascii="Arial" w:hAnsi="Arial" w:cs="Arial"/>
          <w:bCs/>
          <w:sz w:val="24"/>
          <w:szCs w:val="24"/>
        </w:rPr>
        <w:t>. The Equality</w:t>
      </w:r>
      <w:r w:rsidR="00AC56DC">
        <w:rPr>
          <w:rFonts w:ascii="Arial" w:hAnsi="Arial" w:cs="Arial"/>
          <w:bCs/>
          <w:sz w:val="24"/>
          <w:szCs w:val="24"/>
        </w:rPr>
        <w:t xml:space="preserve"> </w:t>
      </w:r>
      <w:r w:rsidR="00AC56DC" w:rsidRPr="006D6470">
        <w:rPr>
          <w:rFonts w:ascii="Arial" w:hAnsi="Arial" w:cs="Arial"/>
          <w:bCs/>
          <w:sz w:val="24"/>
          <w:szCs w:val="24"/>
        </w:rPr>
        <w:t xml:space="preserve">Impact Assessment should be considered at the outset </w:t>
      </w:r>
      <w:r w:rsidR="00AC56DC">
        <w:rPr>
          <w:rFonts w:ascii="Arial" w:hAnsi="Arial" w:cs="Arial"/>
          <w:bCs/>
          <w:sz w:val="24"/>
          <w:szCs w:val="24"/>
        </w:rPr>
        <w:t xml:space="preserve">and as a continuous process alongside the policy or procedure development or review. </w:t>
      </w:r>
    </w:p>
    <w:p w14:paraId="359D3FBD" w14:textId="77777777" w:rsidR="00AC56DC" w:rsidRPr="006D6470" w:rsidRDefault="00AC56DC" w:rsidP="00AC56DC">
      <w:pPr>
        <w:spacing w:after="0" w:line="276" w:lineRule="auto"/>
        <w:rPr>
          <w:rFonts w:ascii="Arial" w:hAnsi="Arial" w:cs="Arial"/>
          <w:b/>
          <w:bCs/>
          <w:sz w:val="24"/>
          <w:szCs w:val="24"/>
        </w:rPr>
      </w:pPr>
    </w:p>
    <w:p w14:paraId="6CA30F92" w14:textId="77777777" w:rsidR="00AC56DC" w:rsidRPr="006D6470" w:rsidRDefault="00AC56DC" w:rsidP="00AC56DC">
      <w:pPr>
        <w:pStyle w:val="BodyText2"/>
        <w:spacing w:after="0" w:line="276" w:lineRule="auto"/>
        <w:rPr>
          <w:rFonts w:ascii="Arial" w:hAnsi="Arial" w:cs="Arial"/>
          <w:sz w:val="24"/>
          <w:szCs w:val="24"/>
        </w:rPr>
      </w:pPr>
      <w:r w:rsidRPr="006D6470">
        <w:rPr>
          <w:rFonts w:ascii="Arial" w:hAnsi="Arial" w:cs="Arial"/>
          <w:sz w:val="24"/>
          <w:szCs w:val="24"/>
        </w:rPr>
        <w:t xml:space="preserve">The impact assessment process consists of one Equality Impact Assessment form which can be found in </w:t>
      </w:r>
      <w:hyperlink w:anchor="_Appendix_A:" w:history="1">
        <w:r w:rsidRPr="006D6470">
          <w:rPr>
            <w:rStyle w:val="Hyperlink"/>
            <w:rFonts w:ascii="Arial" w:hAnsi="Arial" w:cs="Arial"/>
            <w:b/>
            <w:bCs/>
            <w:color w:val="auto"/>
            <w:sz w:val="24"/>
            <w:szCs w:val="24"/>
            <w:u w:val="none"/>
          </w:rPr>
          <w:t>Appendix A</w:t>
        </w:r>
      </w:hyperlink>
      <w:r w:rsidRPr="006D6470">
        <w:rPr>
          <w:rFonts w:ascii="Arial" w:hAnsi="Arial" w:cs="Arial"/>
          <w:sz w:val="24"/>
          <w:szCs w:val="24"/>
        </w:rPr>
        <w:t>. The process can be seen in figure one below.</w:t>
      </w:r>
    </w:p>
    <w:p w14:paraId="4699530B" w14:textId="77777777" w:rsidR="00AC56DC" w:rsidRPr="006D6470" w:rsidRDefault="00AC56DC" w:rsidP="00AC56DC">
      <w:pPr>
        <w:pStyle w:val="BodyText2"/>
        <w:spacing w:after="0" w:line="276" w:lineRule="auto"/>
        <w:rPr>
          <w:rFonts w:ascii="Arial" w:hAnsi="Arial" w:cs="Arial"/>
        </w:rPr>
      </w:pPr>
    </w:p>
    <w:p w14:paraId="0313A258" w14:textId="77777777" w:rsidR="00AC56DC" w:rsidRPr="006D6470" w:rsidRDefault="00AC56DC" w:rsidP="00AC56DC">
      <w:pPr>
        <w:spacing w:after="0" w:line="276" w:lineRule="auto"/>
        <w:rPr>
          <w:rFonts w:ascii="Arial" w:hAnsi="Arial" w:cs="Arial"/>
          <w:b/>
          <w:sz w:val="28"/>
          <w:szCs w:val="28"/>
        </w:rPr>
      </w:pPr>
      <w:r w:rsidRPr="006D6470">
        <w:rPr>
          <w:rFonts w:ascii="Arial" w:hAnsi="Arial" w:cs="Arial"/>
          <w:noProof/>
        </w:rPr>
        <w:drawing>
          <wp:inline distT="0" distB="0" distL="0" distR="0" wp14:anchorId="02B4A320" wp14:editId="66E2C42F">
            <wp:extent cx="5274310" cy="3105150"/>
            <wp:effectExtent l="0" t="0" r="0" b="0"/>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347B92D" w14:textId="77777777" w:rsidR="00AC56DC" w:rsidRPr="006D6470" w:rsidRDefault="00AC56DC" w:rsidP="00AC56DC">
      <w:pPr>
        <w:spacing w:after="0" w:line="276" w:lineRule="auto"/>
        <w:rPr>
          <w:rFonts w:ascii="Arial" w:hAnsi="Arial" w:cs="Arial"/>
          <w:b/>
          <w:szCs w:val="28"/>
        </w:rPr>
      </w:pPr>
    </w:p>
    <w:p w14:paraId="1197B777" w14:textId="77777777" w:rsidR="00AC56DC" w:rsidRPr="006D6470" w:rsidRDefault="00AC56DC" w:rsidP="00AC56DC">
      <w:pPr>
        <w:spacing w:after="0" w:line="276" w:lineRule="auto"/>
        <w:rPr>
          <w:rFonts w:ascii="Arial" w:hAnsi="Arial" w:cs="Arial"/>
          <w:b/>
          <w:sz w:val="24"/>
          <w:szCs w:val="32"/>
        </w:rPr>
      </w:pPr>
      <w:r w:rsidRPr="006D6470">
        <w:rPr>
          <w:rFonts w:ascii="Arial" w:hAnsi="Arial" w:cs="Arial"/>
          <w:b/>
          <w:sz w:val="24"/>
          <w:szCs w:val="32"/>
        </w:rPr>
        <w:t xml:space="preserve">Figure one: </w:t>
      </w:r>
      <w:r w:rsidRPr="006D6470">
        <w:rPr>
          <w:rFonts w:ascii="Arial" w:hAnsi="Arial" w:cs="Arial"/>
          <w:sz w:val="24"/>
          <w:szCs w:val="32"/>
        </w:rPr>
        <w:t>Equality Impact Assessment process</w:t>
      </w:r>
    </w:p>
    <w:p w14:paraId="0465F89F" w14:textId="77777777" w:rsidR="00AC56DC" w:rsidRDefault="00AC56DC" w:rsidP="00AC56DC">
      <w:pPr>
        <w:spacing w:after="0" w:line="276" w:lineRule="auto"/>
        <w:rPr>
          <w:rFonts w:ascii="Arial" w:hAnsi="Arial" w:cs="Arial"/>
        </w:rPr>
      </w:pPr>
    </w:p>
    <w:p w14:paraId="56FF9B91" w14:textId="77777777" w:rsidR="00AC56DC" w:rsidRPr="006D6470" w:rsidRDefault="00AC56DC" w:rsidP="00AC56DC">
      <w:pPr>
        <w:pStyle w:val="Heading2"/>
        <w:spacing w:line="276" w:lineRule="auto"/>
        <w:rPr>
          <w:sz w:val="28"/>
          <w:szCs w:val="28"/>
        </w:rPr>
      </w:pPr>
      <w:r w:rsidRPr="006D6470">
        <w:rPr>
          <w:sz w:val="28"/>
          <w:szCs w:val="28"/>
        </w:rPr>
        <w:t>Monitoring and Data Collection</w:t>
      </w:r>
    </w:p>
    <w:p w14:paraId="26FFDF2C"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Robust data collection is central to the impact assessment process. An impact assessment will require the collection of relevant quantitative or qualitative data.  </w:t>
      </w:r>
    </w:p>
    <w:p w14:paraId="41215820" w14:textId="77777777" w:rsidR="00AC56DC" w:rsidRPr="006D6470" w:rsidRDefault="00AC56DC" w:rsidP="00AC56DC">
      <w:pPr>
        <w:spacing w:after="0" w:line="276" w:lineRule="auto"/>
        <w:rPr>
          <w:rFonts w:ascii="Arial" w:hAnsi="Arial" w:cs="Arial"/>
          <w:sz w:val="24"/>
          <w:szCs w:val="24"/>
        </w:rPr>
      </w:pPr>
    </w:p>
    <w:p w14:paraId="373EA5DB"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The data collected should where possible, help to identify whether the policy or procedure is likely to have or has had an adverse impact on protected characteristics groups.</w:t>
      </w:r>
    </w:p>
    <w:p w14:paraId="796DA16A" w14:textId="77777777" w:rsidR="00AC56DC" w:rsidRPr="006D6470" w:rsidRDefault="00AC56DC" w:rsidP="00AC56DC">
      <w:pPr>
        <w:pStyle w:val="BodyTextIndent"/>
        <w:tabs>
          <w:tab w:val="left" w:pos="540"/>
        </w:tabs>
        <w:spacing w:after="0" w:line="276" w:lineRule="auto"/>
        <w:ind w:left="0"/>
        <w:rPr>
          <w:rFonts w:ascii="Arial" w:hAnsi="Arial" w:cs="Arial"/>
          <w:sz w:val="24"/>
          <w:szCs w:val="24"/>
        </w:rPr>
      </w:pPr>
    </w:p>
    <w:p w14:paraId="7DD65E0F" w14:textId="77777777" w:rsidR="00AC56DC" w:rsidRPr="006D6470" w:rsidRDefault="00AC56DC" w:rsidP="00AC56DC">
      <w:pPr>
        <w:pStyle w:val="BodyTextIndent"/>
        <w:tabs>
          <w:tab w:val="left" w:pos="540"/>
        </w:tabs>
        <w:spacing w:after="0" w:line="276" w:lineRule="auto"/>
        <w:ind w:left="0"/>
        <w:rPr>
          <w:rFonts w:ascii="Arial" w:hAnsi="Arial" w:cs="Arial"/>
          <w:sz w:val="24"/>
          <w:szCs w:val="24"/>
        </w:rPr>
      </w:pPr>
      <w:r w:rsidRPr="006D6470">
        <w:rPr>
          <w:rFonts w:ascii="Arial" w:hAnsi="Arial" w:cs="Arial"/>
          <w:sz w:val="24"/>
          <w:szCs w:val="24"/>
        </w:rPr>
        <w:t>If unjustifiable adverse impact is detected through the analysis of monitoring</w:t>
      </w:r>
    </w:p>
    <w:p w14:paraId="23E35DB6"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data then action should be taken to remedy this. Support with this can be sought from the Equality, </w:t>
      </w:r>
      <w:proofErr w:type="gramStart"/>
      <w:r w:rsidRPr="006D6470">
        <w:rPr>
          <w:rFonts w:ascii="Arial" w:hAnsi="Arial" w:cs="Arial"/>
          <w:sz w:val="24"/>
          <w:szCs w:val="24"/>
        </w:rPr>
        <w:t>Diversity</w:t>
      </w:r>
      <w:proofErr w:type="gramEnd"/>
      <w:r w:rsidRPr="006D6470">
        <w:rPr>
          <w:rFonts w:ascii="Arial" w:hAnsi="Arial" w:cs="Arial"/>
          <w:sz w:val="24"/>
          <w:szCs w:val="24"/>
        </w:rPr>
        <w:t xml:space="preserve"> and Inclusion team. </w:t>
      </w:r>
    </w:p>
    <w:p w14:paraId="648ED71F" w14:textId="77777777" w:rsidR="00AC56DC" w:rsidRPr="006D6470" w:rsidRDefault="00AC56DC" w:rsidP="00AC56DC">
      <w:pPr>
        <w:spacing w:after="0" w:line="276" w:lineRule="auto"/>
        <w:rPr>
          <w:rFonts w:ascii="Arial" w:hAnsi="Arial" w:cs="Arial"/>
        </w:rPr>
      </w:pPr>
    </w:p>
    <w:p w14:paraId="56DFAF74" w14:textId="77777777" w:rsidR="00AC56DC" w:rsidRPr="006D6470" w:rsidRDefault="00AC56DC" w:rsidP="00AC56DC">
      <w:pPr>
        <w:pStyle w:val="Heading2"/>
        <w:spacing w:line="276" w:lineRule="auto"/>
        <w:rPr>
          <w:sz w:val="28"/>
          <w:szCs w:val="28"/>
        </w:rPr>
      </w:pPr>
      <w:bookmarkStart w:id="3" w:name="_Consultation"/>
      <w:bookmarkEnd w:id="3"/>
      <w:r w:rsidRPr="006D6470">
        <w:rPr>
          <w:sz w:val="28"/>
          <w:szCs w:val="28"/>
        </w:rPr>
        <w:t>Consultation</w:t>
      </w:r>
    </w:p>
    <w:p w14:paraId="5E5AE442" w14:textId="77777777" w:rsidR="00AC56DC" w:rsidRPr="006D6470" w:rsidRDefault="00AC56DC" w:rsidP="00AC56DC">
      <w:pPr>
        <w:spacing w:after="0" w:line="276" w:lineRule="auto"/>
        <w:rPr>
          <w:rFonts w:ascii="Arial" w:eastAsia="Arial" w:hAnsi="Arial" w:cs="Arial"/>
          <w:sz w:val="24"/>
          <w:szCs w:val="24"/>
        </w:rPr>
      </w:pPr>
      <w:r w:rsidRPr="006D6470">
        <w:rPr>
          <w:rFonts w:ascii="Arial" w:eastAsia="Arial" w:hAnsi="Arial" w:cs="Arial"/>
          <w:sz w:val="24"/>
          <w:szCs w:val="24"/>
        </w:rPr>
        <w:t xml:space="preserve">Central to the development and progression of equality is the need to consult within the University and with external organisations where appropriate. </w:t>
      </w:r>
    </w:p>
    <w:p w14:paraId="5FF3A020" w14:textId="77777777" w:rsidR="00AC56DC" w:rsidRPr="006D6470" w:rsidRDefault="00AC56DC" w:rsidP="00AC56DC">
      <w:pPr>
        <w:spacing w:after="0" w:line="276" w:lineRule="auto"/>
        <w:rPr>
          <w:rFonts w:ascii="Arial" w:eastAsia="Arial" w:hAnsi="Arial" w:cs="Arial"/>
          <w:sz w:val="24"/>
          <w:szCs w:val="24"/>
        </w:rPr>
      </w:pPr>
      <w:r w:rsidRPr="006D6470">
        <w:rPr>
          <w:rFonts w:ascii="Arial" w:eastAsia="Arial" w:hAnsi="Arial" w:cs="Arial"/>
          <w:sz w:val="24"/>
          <w:szCs w:val="24"/>
        </w:rPr>
        <w:lastRenderedPageBreak/>
        <w:t xml:space="preserve"> </w:t>
      </w:r>
    </w:p>
    <w:p w14:paraId="2052D7E6" w14:textId="77777777" w:rsidR="00AC56DC" w:rsidRDefault="00AC56DC" w:rsidP="00AC56DC">
      <w:pPr>
        <w:spacing w:after="0" w:line="276" w:lineRule="auto"/>
        <w:rPr>
          <w:rFonts w:ascii="Arial" w:hAnsi="Arial" w:cs="Arial"/>
          <w:sz w:val="24"/>
          <w:szCs w:val="24"/>
        </w:rPr>
      </w:pPr>
      <w:r w:rsidRPr="006D6470">
        <w:rPr>
          <w:rFonts w:ascii="Arial" w:eastAsia="Arial" w:hAnsi="Arial" w:cs="Arial"/>
          <w:sz w:val="24"/>
          <w:szCs w:val="24"/>
        </w:rPr>
        <w:t xml:space="preserve">Consultation should occur at an early stage in the planning and development </w:t>
      </w:r>
      <w:r>
        <w:rPr>
          <w:rFonts w:ascii="Arial" w:eastAsia="Arial" w:hAnsi="Arial" w:cs="Arial"/>
          <w:sz w:val="24"/>
          <w:szCs w:val="24"/>
        </w:rPr>
        <w:t>of a new or revised policy.</w:t>
      </w:r>
      <w:r>
        <w:rPr>
          <w:rFonts w:ascii="Arial" w:hAnsi="Arial" w:cs="Arial"/>
          <w:sz w:val="24"/>
          <w:szCs w:val="24"/>
        </w:rPr>
        <w:t xml:space="preserve"> </w:t>
      </w:r>
    </w:p>
    <w:p w14:paraId="25315817" w14:textId="77777777" w:rsidR="00AC56DC" w:rsidRDefault="00AC56DC" w:rsidP="00AC56DC">
      <w:pPr>
        <w:spacing w:after="0" w:line="276" w:lineRule="auto"/>
        <w:rPr>
          <w:rFonts w:ascii="Arial" w:hAnsi="Arial" w:cs="Arial"/>
          <w:sz w:val="24"/>
          <w:szCs w:val="24"/>
        </w:rPr>
      </w:pPr>
    </w:p>
    <w:p w14:paraId="710D3368" w14:textId="77777777" w:rsidR="00AC56DC" w:rsidRDefault="00AC56DC" w:rsidP="00AC56DC">
      <w:pPr>
        <w:spacing w:after="0" w:line="276" w:lineRule="auto"/>
        <w:rPr>
          <w:rFonts w:ascii="Arial" w:hAnsi="Arial" w:cs="Arial"/>
          <w:b/>
          <w:bCs/>
          <w:sz w:val="24"/>
          <w:szCs w:val="24"/>
        </w:rPr>
      </w:pPr>
      <w:r>
        <w:rPr>
          <w:rFonts w:ascii="Arial" w:hAnsi="Arial" w:cs="Arial"/>
          <w:b/>
          <w:bCs/>
          <w:sz w:val="24"/>
          <w:szCs w:val="24"/>
        </w:rPr>
        <w:t xml:space="preserve">Who to </w:t>
      </w:r>
      <w:proofErr w:type="gramStart"/>
      <w:r>
        <w:rPr>
          <w:rFonts w:ascii="Arial" w:hAnsi="Arial" w:cs="Arial"/>
          <w:b/>
          <w:bCs/>
          <w:sz w:val="24"/>
          <w:szCs w:val="24"/>
        </w:rPr>
        <w:t>consult</w:t>
      </w:r>
      <w:proofErr w:type="gramEnd"/>
    </w:p>
    <w:p w14:paraId="227A20CF" w14:textId="77777777" w:rsidR="00AC56DC" w:rsidRPr="00DD07F3" w:rsidRDefault="00AC56DC" w:rsidP="00AC56DC">
      <w:pPr>
        <w:spacing w:after="0" w:line="276" w:lineRule="auto"/>
        <w:rPr>
          <w:rFonts w:ascii="Arial" w:hAnsi="Arial" w:cs="Arial"/>
          <w:sz w:val="24"/>
          <w:szCs w:val="24"/>
        </w:rPr>
      </w:pPr>
      <w:r>
        <w:rPr>
          <w:rFonts w:ascii="Arial" w:hAnsi="Arial" w:cs="Arial"/>
          <w:sz w:val="24"/>
          <w:szCs w:val="24"/>
        </w:rPr>
        <w:t xml:space="preserve">It is important to consider who the key stakeholders are that are likely to be affected by the policy or procedure directly or indirectly and which organisations, groups and individuals are likely to have a legitimate interest in the policy or procedure. </w:t>
      </w:r>
      <w:r w:rsidRPr="006D6470">
        <w:rPr>
          <w:rFonts w:ascii="Arial" w:eastAsia="Arial" w:hAnsi="Arial" w:cs="Arial"/>
          <w:sz w:val="24"/>
          <w:szCs w:val="24"/>
        </w:rPr>
        <w:t xml:space="preserve">Consideration should be given to </w:t>
      </w:r>
      <w:r w:rsidRPr="006D6470">
        <w:rPr>
          <w:rFonts w:ascii="Arial" w:hAnsi="Arial" w:cs="Arial"/>
          <w:sz w:val="24"/>
          <w:szCs w:val="24"/>
        </w:rPr>
        <w:t xml:space="preserve">external consultations </w:t>
      </w:r>
      <w:r w:rsidRPr="006D6470">
        <w:rPr>
          <w:rFonts w:ascii="Arial" w:eastAsia="Arial" w:hAnsi="Arial" w:cs="Arial"/>
          <w:sz w:val="24"/>
          <w:szCs w:val="24"/>
        </w:rPr>
        <w:t xml:space="preserve">with </w:t>
      </w:r>
      <w:r w:rsidRPr="006D6470">
        <w:rPr>
          <w:rFonts w:ascii="Arial" w:hAnsi="Arial" w:cs="Arial"/>
          <w:sz w:val="24"/>
          <w:szCs w:val="24"/>
        </w:rPr>
        <w:t>partner agencies and relevant equality groups</w:t>
      </w:r>
      <w:r w:rsidRPr="006D6470">
        <w:rPr>
          <w:rFonts w:ascii="Arial" w:hAnsi="Arial" w:cs="Arial"/>
          <w:sz w:val="24"/>
          <w:szCs w:val="24"/>
          <w:lang w:eastAsia="en-GB"/>
        </w:rPr>
        <w:t xml:space="preserve">. </w:t>
      </w:r>
      <w:r w:rsidRPr="006D6470">
        <w:rPr>
          <w:rFonts w:ascii="Arial" w:hAnsi="Arial" w:cs="Arial"/>
          <w:sz w:val="24"/>
          <w:szCs w:val="24"/>
        </w:rPr>
        <w:t>It is advisable to conduct internal consultations with staff and student associations and networks. The University has achieved more effective and meaningful results by working closely with such groups.</w:t>
      </w:r>
      <w:r w:rsidRPr="006D6470">
        <w:rPr>
          <w:rFonts w:ascii="Arial" w:eastAsia="Arial" w:hAnsi="Arial" w:cs="Arial"/>
          <w:sz w:val="24"/>
          <w:szCs w:val="24"/>
        </w:rPr>
        <w:t xml:space="preserve"> </w:t>
      </w:r>
    </w:p>
    <w:p w14:paraId="42495AC6" w14:textId="77777777" w:rsidR="00AC56DC" w:rsidRDefault="00AC56DC" w:rsidP="00AC56DC">
      <w:pPr>
        <w:spacing w:after="0" w:line="276" w:lineRule="auto"/>
        <w:rPr>
          <w:rFonts w:ascii="Arial" w:eastAsia="Arial" w:hAnsi="Arial" w:cs="Arial"/>
          <w:sz w:val="24"/>
          <w:szCs w:val="24"/>
        </w:rPr>
      </w:pPr>
    </w:p>
    <w:p w14:paraId="132C32E7" w14:textId="77777777" w:rsidR="00AC56DC" w:rsidRDefault="00AC56DC" w:rsidP="00AC56DC">
      <w:pPr>
        <w:spacing w:after="0" w:line="276" w:lineRule="auto"/>
        <w:rPr>
          <w:rFonts w:ascii="Arial" w:eastAsia="Arial" w:hAnsi="Arial" w:cs="Arial"/>
          <w:b/>
          <w:bCs/>
          <w:sz w:val="24"/>
          <w:szCs w:val="24"/>
        </w:rPr>
      </w:pPr>
      <w:r>
        <w:rPr>
          <w:rFonts w:ascii="Arial" w:eastAsia="Arial" w:hAnsi="Arial" w:cs="Arial"/>
          <w:b/>
          <w:bCs/>
          <w:sz w:val="24"/>
          <w:szCs w:val="24"/>
        </w:rPr>
        <w:t>What to consult on</w:t>
      </w:r>
    </w:p>
    <w:p w14:paraId="21A97AA6" w14:textId="77777777" w:rsidR="00AC56DC" w:rsidRPr="00DD07F3" w:rsidRDefault="00AC56DC" w:rsidP="00AC56DC">
      <w:pPr>
        <w:spacing w:after="0" w:line="276" w:lineRule="auto"/>
        <w:rPr>
          <w:rFonts w:ascii="Arial" w:eastAsia="Arial" w:hAnsi="Arial" w:cs="Arial"/>
          <w:sz w:val="24"/>
          <w:szCs w:val="24"/>
        </w:rPr>
      </w:pPr>
      <w:r>
        <w:rPr>
          <w:rFonts w:ascii="Arial" w:eastAsia="Arial" w:hAnsi="Arial" w:cs="Arial"/>
          <w:sz w:val="24"/>
          <w:szCs w:val="24"/>
        </w:rPr>
        <w:t>Data gaps identified in the data collection stage should be used to guide the consultation process. Policy or procedure developers or reviewers may wish to consult on research conducted by other Higher Education Institutions on similar policies or procedures.</w:t>
      </w:r>
    </w:p>
    <w:p w14:paraId="7DD2E4A7" w14:textId="77777777" w:rsidR="00AC56DC" w:rsidRDefault="00AC56DC" w:rsidP="00AC56DC">
      <w:pPr>
        <w:spacing w:after="0" w:line="276" w:lineRule="auto"/>
        <w:rPr>
          <w:rFonts w:ascii="Arial" w:eastAsia="Arial" w:hAnsi="Arial" w:cs="Arial"/>
          <w:b/>
          <w:bCs/>
          <w:sz w:val="24"/>
          <w:szCs w:val="24"/>
        </w:rPr>
      </w:pPr>
    </w:p>
    <w:p w14:paraId="1E9ADD45" w14:textId="77777777" w:rsidR="00AC56DC" w:rsidRPr="00DD07F3" w:rsidRDefault="00AC56DC" w:rsidP="00AC56DC">
      <w:pPr>
        <w:spacing w:after="0" w:line="276" w:lineRule="auto"/>
        <w:rPr>
          <w:rFonts w:ascii="Arial" w:eastAsia="Arial" w:hAnsi="Arial" w:cs="Arial"/>
          <w:b/>
          <w:bCs/>
          <w:sz w:val="24"/>
          <w:szCs w:val="24"/>
        </w:rPr>
      </w:pPr>
      <w:r>
        <w:rPr>
          <w:rFonts w:ascii="Arial" w:eastAsia="Arial" w:hAnsi="Arial" w:cs="Arial"/>
          <w:b/>
          <w:bCs/>
          <w:sz w:val="24"/>
          <w:szCs w:val="24"/>
        </w:rPr>
        <w:t>How to consult</w:t>
      </w:r>
    </w:p>
    <w:p w14:paraId="36276A9F" w14:textId="77777777" w:rsidR="00AC56DC" w:rsidRDefault="00AC56DC" w:rsidP="00AC56DC">
      <w:pPr>
        <w:spacing w:after="0" w:line="276" w:lineRule="auto"/>
        <w:rPr>
          <w:rFonts w:ascii="Arial" w:hAnsi="Arial" w:cs="Arial"/>
          <w:sz w:val="24"/>
          <w:szCs w:val="24"/>
        </w:rPr>
      </w:pPr>
      <w:r>
        <w:rPr>
          <w:rFonts w:ascii="Arial" w:hAnsi="Arial" w:cs="Arial"/>
          <w:sz w:val="24"/>
          <w:szCs w:val="24"/>
        </w:rPr>
        <w:t xml:space="preserve">Methods of consultation could include focus groups, </w:t>
      </w:r>
      <w:proofErr w:type="gramStart"/>
      <w:r>
        <w:rPr>
          <w:rFonts w:ascii="Arial" w:hAnsi="Arial" w:cs="Arial"/>
          <w:sz w:val="24"/>
          <w:szCs w:val="24"/>
        </w:rPr>
        <w:t>interviews</w:t>
      </w:r>
      <w:proofErr w:type="gramEnd"/>
      <w:r>
        <w:rPr>
          <w:rFonts w:ascii="Arial" w:hAnsi="Arial" w:cs="Arial"/>
          <w:sz w:val="24"/>
          <w:szCs w:val="24"/>
        </w:rPr>
        <w:t xml:space="preserve"> or surveys. Communication may involve face-to-face meetings, online meetings, </w:t>
      </w:r>
      <w:proofErr w:type="gramStart"/>
      <w:r>
        <w:rPr>
          <w:rFonts w:ascii="Arial" w:hAnsi="Arial" w:cs="Arial"/>
          <w:sz w:val="24"/>
          <w:szCs w:val="24"/>
        </w:rPr>
        <w:t>email</w:t>
      </w:r>
      <w:proofErr w:type="gramEnd"/>
      <w:r>
        <w:rPr>
          <w:rFonts w:ascii="Arial" w:hAnsi="Arial" w:cs="Arial"/>
          <w:sz w:val="24"/>
          <w:szCs w:val="24"/>
        </w:rPr>
        <w:t xml:space="preserve"> or social media. It is important to ensure a realistic timeframe for involvement is set and that physical and digital accessibility is considered when conducting the consultation process. </w:t>
      </w:r>
    </w:p>
    <w:p w14:paraId="21322556" w14:textId="77777777" w:rsidR="00AC56DC" w:rsidRPr="006D6470" w:rsidRDefault="00AC56DC" w:rsidP="00AC56DC">
      <w:pPr>
        <w:spacing w:after="0" w:line="276" w:lineRule="auto"/>
        <w:rPr>
          <w:rFonts w:ascii="Arial" w:hAnsi="Arial" w:cs="Arial"/>
          <w:sz w:val="24"/>
          <w:szCs w:val="24"/>
        </w:rPr>
      </w:pPr>
    </w:p>
    <w:p w14:paraId="1BCF2A56" w14:textId="20D235D3" w:rsidR="00AC56DC" w:rsidRDefault="00000000" w:rsidP="00AC56DC">
      <w:pPr>
        <w:spacing w:after="0" w:line="276" w:lineRule="auto"/>
        <w:rPr>
          <w:rFonts w:ascii="Arial" w:hAnsi="Arial" w:cs="Arial"/>
          <w:sz w:val="24"/>
          <w:szCs w:val="24"/>
        </w:rPr>
      </w:pPr>
      <w:hyperlink r:id="rId21" w:history="1">
        <w:r w:rsidR="00AC56DC" w:rsidRPr="006D6470">
          <w:rPr>
            <w:rStyle w:val="Hyperlink"/>
            <w:rFonts w:ascii="Arial" w:hAnsi="Arial" w:cs="Arial"/>
            <w:b/>
            <w:bCs/>
            <w:color w:val="auto"/>
            <w:sz w:val="24"/>
            <w:szCs w:val="24"/>
            <w:u w:val="none"/>
          </w:rPr>
          <w:t>The Equality, Diversity, and Inclusion Committee (EDIC)</w:t>
        </w:r>
      </w:hyperlink>
      <w:r w:rsidR="00AC56DC" w:rsidRPr="006D6470">
        <w:rPr>
          <w:rFonts w:ascii="Arial" w:hAnsi="Arial" w:cs="Arial"/>
          <w:sz w:val="24"/>
          <w:szCs w:val="24"/>
        </w:rPr>
        <w:t xml:space="preserve"> is </w:t>
      </w:r>
      <w:r w:rsidR="00AC56DC" w:rsidRPr="006D6470">
        <w:rPr>
          <w:rFonts w:ascii="Arial" w:hAnsi="Arial" w:cs="Arial"/>
          <w:sz w:val="24"/>
          <w:szCs w:val="24"/>
          <w:shd w:val="clear" w:color="auto" w:fill="FFFFFF"/>
        </w:rPr>
        <w:t xml:space="preserve">responsible for overseeing the strategic direction of all Equality, Diversity, and Inclusion activities supporting the Aberdeen 2040 strategy. </w:t>
      </w:r>
      <w:r w:rsidR="00AC56DC">
        <w:rPr>
          <w:rFonts w:ascii="Arial" w:hAnsi="Arial" w:cs="Arial"/>
          <w:sz w:val="24"/>
          <w:szCs w:val="24"/>
          <w:shd w:val="clear" w:color="auto" w:fill="FFFFFF"/>
        </w:rPr>
        <w:t>EDIC will review and</w:t>
      </w:r>
      <w:r w:rsidR="00E321D6">
        <w:rPr>
          <w:rFonts w:ascii="Arial" w:hAnsi="Arial" w:cs="Arial"/>
          <w:sz w:val="24"/>
          <w:szCs w:val="24"/>
          <w:shd w:val="clear" w:color="auto" w:fill="FFFFFF"/>
        </w:rPr>
        <w:t xml:space="preserve"> </w:t>
      </w:r>
      <w:r w:rsidR="00AC56DC">
        <w:rPr>
          <w:rFonts w:ascii="Arial" w:hAnsi="Arial" w:cs="Arial"/>
          <w:sz w:val="24"/>
          <w:szCs w:val="24"/>
          <w:shd w:val="clear" w:color="auto" w:fill="FFFFFF"/>
        </w:rPr>
        <w:t>provide feedback on</w:t>
      </w:r>
      <w:r w:rsidR="00E321D6">
        <w:rPr>
          <w:rFonts w:ascii="Arial" w:hAnsi="Arial" w:cs="Arial"/>
          <w:sz w:val="24"/>
          <w:szCs w:val="24"/>
          <w:shd w:val="clear" w:color="auto" w:fill="FFFFFF"/>
        </w:rPr>
        <w:t xml:space="preserve"> </w:t>
      </w:r>
      <w:r w:rsidR="00AC56DC">
        <w:rPr>
          <w:rFonts w:ascii="Arial" w:hAnsi="Arial" w:cs="Arial"/>
          <w:sz w:val="24"/>
          <w:szCs w:val="24"/>
          <w:shd w:val="clear" w:color="auto" w:fill="FFFFFF"/>
        </w:rPr>
        <w:t xml:space="preserve">all Equality Impact Assessments.  </w:t>
      </w:r>
      <w:r w:rsidR="00AC56DC" w:rsidRPr="006D6470">
        <w:rPr>
          <w:rFonts w:ascii="Arial" w:hAnsi="Arial" w:cs="Arial"/>
          <w:sz w:val="24"/>
          <w:szCs w:val="24"/>
        </w:rPr>
        <w:t xml:space="preserve"> </w:t>
      </w:r>
    </w:p>
    <w:p w14:paraId="7597F3C4" w14:textId="77777777" w:rsidR="00AC56DC" w:rsidRPr="006D6470" w:rsidRDefault="00AC56DC" w:rsidP="00AC56DC">
      <w:pPr>
        <w:spacing w:after="0" w:line="276" w:lineRule="auto"/>
        <w:rPr>
          <w:rFonts w:ascii="Arial" w:hAnsi="Arial" w:cs="Arial"/>
          <w:sz w:val="24"/>
          <w:szCs w:val="24"/>
          <w:shd w:val="clear" w:color="auto" w:fill="FFFFFF"/>
        </w:rPr>
      </w:pPr>
    </w:p>
    <w:p w14:paraId="616F8DD4" w14:textId="77777777" w:rsidR="00AC56DC" w:rsidRPr="006D6470" w:rsidRDefault="00AC56DC" w:rsidP="00AC56DC">
      <w:pPr>
        <w:pStyle w:val="Heading2"/>
        <w:spacing w:line="276" w:lineRule="auto"/>
        <w:rPr>
          <w:sz w:val="20"/>
          <w:szCs w:val="20"/>
          <w:shd w:val="clear" w:color="auto" w:fill="FFFFFF"/>
        </w:rPr>
      </w:pPr>
      <w:bookmarkStart w:id="4" w:name="_Review_of_Policies,"/>
      <w:bookmarkEnd w:id="4"/>
      <w:r w:rsidRPr="006D6470">
        <w:rPr>
          <w:sz w:val="28"/>
          <w:szCs w:val="28"/>
        </w:rPr>
        <w:t>Review of Policies, Practices</w:t>
      </w:r>
      <w:r>
        <w:rPr>
          <w:sz w:val="28"/>
          <w:szCs w:val="28"/>
        </w:rPr>
        <w:t xml:space="preserve"> or Functions</w:t>
      </w:r>
    </w:p>
    <w:p w14:paraId="0FA0DFF3"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Equality Impact Assessments are an ongoing process. Existing </w:t>
      </w:r>
      <w:r>
        <w:rPr>
          <w:rFonts w:ascii="Arial" w:hAnsi="Arial" w:cs="Arial"/>
          <w:sz w:val="24"/>
          <w:szCs w:val="24"/>
        </w:rPr>
        <w:t xml:space="preserve">and proposed </w:t>
      </w:r>
      <w:r w:rsidRPr="006D6470">
        <w:rPr>
          <w:rFonts w:ascii="Arial" w:hAnsi="Arial" w:cs="Arial"/>
          <w:sz w:val="24"/>
          <w:szCs w:val="24"/>
        </w:rPr>
        <w:t>policies</w:t>
      </w:r>
      <w:r>
        <w:rPr>
          <w:rFonts w:ascii="Arial" w:hAnsi="Arial" w:cs="Arial"/>
          <w:sz w:val="24"/>
          <w:szCs w:val="24"/>
        </w:rPr>
        <w:t xml:space="preserve"> and procedures </w:t>
      </w:r>
      <w:r w:rsidRPr="006D6470">
        <w:rPr>
          <w:rFonts w:ascii="Arial" w:hAnsi="Arial" w:cs="Arial"/>
          <w:sz w:val="24"/>
          <w:szCs w:val="24"/>
        </w:rPr>
        <w:t>will require periodic review dependent on the impact of the policy</w:t>
      </w:r>
      <w:r>
        <w:rPr>
          <w:rFonts w:ascii="Arial" w:hAnsi="Arial" w:cs="Arial"/>
          <w:sz w:val="24"/>
          <w:szCs w:val="24"/>
        </w:rPr>
        <w:t xml:space="preserve"> or procedure</w:t>
      </w:r>
      <w:r w:rsidRPr="006D6470">
        <w:rPr>
          <w:rFonts w:ascii="Arial" w:hAnsi="Arial" w:cs="Arial"/>
          <w:sz w:val="24"/>
          <w:szCs w:val="24"/>
        </w:rPr>
        <w:t xml:space="preserve"> following equality, diversity, and inclusion assessment.</w:t>
      </w:r>
    </w:p>
    <w:p w14:paraId="29BC3044" w14:textId="77777777" w:rsidR="00AC56DC" w:rsidRPr="006D6470" w:rsidRDefault="00AC56DC" w:rsidP="00AC56DC">
      <w:pPr>
        <w:spacing w:after="0" w:line="276" w:lineRule="auto"/>
        <w:rPr>
          <w:rFonts w:ascii="Arial" w:hAnsi="Arial" w:cs="Arial"/>
          <w:sz w:val="24"/>
          <w:szCs w:val="24"/>
        </w:rPr>
      </w:pPr>
    </w:p>
    <w:p w14:paraId="33946304"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Following assessment of the </w:t>
      </w:r>
      <w:r w:rsidRPr="006D6470">
        <w:rPr>
          <w:rFonts w:ascii="Arial" w:eastAsia="Arial" w:hAnsi="Arial" w:cs="Arial"/>
          <w:sz w:val="24"/>
          <w:szCs w:val="24"/>
        </w:rPr>
        <w:t xml:space="preserve">University’s </w:t>
      </w:r>
      <w:r w:rsidRPr="006D6470">
        <w:rPr>
          <w:rFonts w:ascii="Arial" w:hAnsi="Arial" w:cs="Arial"/>
          <w:sz w:val="24"/>
          <w:szCs w:val="24"/>
        </w:rPr>
        <w:t>policies</w:t>
      </w:r>
      <w:r>
        <w:rPr>
          <w:rFonts w:ascii="Arial" w:hAnsi="Arial" w:cs="Arial"/>
          <w:sz w:val="24"/>
          <w:szCs w:val="24"/>
        </w:rPr>
        <w:t xml:space="preserve"> and procedures </w:t>
      </w:r>
      <w:r w:rsidRPr="006D6470">
        <w:rPr>
          <w:rFonts w:ascii="Arial" w:hAnsi="Arial" w:cs="Arial"/>
          <w:sz w:val="24"/>
          <w:szCs w:val="24"/>
        </w:rPr>
        <w:t>a review date will have been established dependent on the impact. The po</w:t>
      </w:r>
      <w:r>
        <w:rPr>
          <w:rFonts w:ascii="Arial" w:hAnsi="Arial" w:cs="Arial"/>
          <w:sz w:val="24"/>
          <w:szCs w:val="24"/>
        </w:rPr>
        <w:t>ssible</w:t>
      </w:r>
      <w:r w:rsidRPr="006D6470">
        <w:rPr>
          <w:rFonts w:ascii="Arial" w:hAnsi="Arial" w:cs="Arial"/>
          <w:sz w:val="24"/>
          <w:szCs w:val="24"/>
        </w:rPr>
        <w:t xml:space="preserve"> ratings for impact are positive impact, no impact, and negative impact. If </w:t>
      </w:r>
      <w:r w:rsidRPr="006D6470">
        <w:rPr>
          <w:rFonts w:ascii="Arial" w:hAnsi="Arial" w:cs="Arial"/>
          <w:color w:val="000000"/>
          <w:sz w:val="24"/>
          <w:szCs w:val="24"/>
        </w:rPr>
        <w:t>an adverse impact is identified action should be taken to remove the negative impact.</w:t>
      </w:r>
    </w:p>
    <w:p w14:paraId="5EA760C6" w14:textId="77777777" w:rsidR="00AC56DC" w:rsidRPr="006D6470" w:rsidRDefault="00AC56DC" w:rsidP="00AC56DC">
      <w:pPr>
        <w:spacing w:after="0" w:line="276" w:lineRule="auto"/>
        <w:rPr>
          <w:rFonts w:ascii="Arial" w:hAnsi="Arial" w:cs="Arial"/>
          <w:sz w:val="24"/>
          <w:szCs w:val="24"/>
        </w:rPr>
      </w:pPr>
    </w:p>
    <w:p w14:paraId="56388157"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It is intended that reviews will occur following three years after implementation</w:t>
      </w:r>
      <w:r>
        <w:rPr>
          <w:rFonts w:ascii="Arial" w:hAnsi="Arial" w:cs="Arial"/>
          <w:sz w:val="24"/>
          <w:szCs w:val="24"/>
        </w:rPr>
        <w:t xml:space="preserve"> of the policy or procedure</w:t>
      </w:r>
      <w:r w:rsidRPr="006D6470">
        <w:rPr>
          <w:rFonts w:ascii="Arial" w:hAnsi="Arial" w:cs="Arial"/>
          <w:sz w:val="24"/>
          <w:szCs w:val="24"/>
        </w:rPr>
        <w:t>.</w:t>
      </w:r>
    </w:p>
    <w:p w14:paraId="50C6D8A5" w14:textId="77777777" w:rsidR="00AC56DC" w:rsidRPr="006D6470" w:rsidRDefault="00AC56DC" w:rsidP="00AC56DC">
      <w:pPr>
        <w:spacing w:after="0" w:line="276" w:lineRule="auto"/>
        <w:rPr>
          <w:rFonts w:ascii="Arial" w:hAnsi="Arial" w:cs="Arial"/>
          <w:sz w:val="32"/>
          <w:szCs w:val="32"/>
        </w:rPr>
      </w:pPr>
      <w:bookmarkStart w:id="5" w:name="_Monitoring_and_Data"/>
      <w:bookmarkEnd w:id="5"/>
    </w:p>
    <w:p w14:paraId="77721D50" w14:textId="77777777" w:rsidR="00AC56DC" w:rsidRPr="007E0721" w:rsidRDefault="00AC56DC" w:rsidP="00AC56DC">
      <w:pPr>
        <w:pStyle w:val="Heading2"/>
        <w:spacing w:line="276" w:lineRule="auto"/>
        <w:rPr>
          <w:sz w:val="28"/>
          <w:szCs w:val="28"/>
        </w:rPr>
      </w:pPr>
      <w:bookmarkStart w:id="6" w:name="_Publishing"/>
      <w:bookmarkEnd w:id="6"/>
      <w:r w:rsidRPr="007E0721">
        <w:rPr>
          <w:sz w:val="28"/>
          <w:szCs w:val="28"/>
        </w:rPr>
        <w:t>Publishing</w:t>
      </w:r>
    </w:p>
    <w:p w14:paraId="6FDB6B10" w14:textId="2C37C2B1"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The University is required to publish the results of each impact assessment undertaken. </w:t>
      </w:r>
      <w:r>
        <w:rPr>
          <w:rFonts w:ascii="Arial" w:hAnsi="Arial" w:cs="Arial"/>
          <w:sz w:val="24"/>
          <w:szCs w:val="24"/>
        </w:rPr>
        <w:t>Following approval from the Equality, Diversity and Inclusion team the</w:t>
      </w:r>
      <w:r w:rsidRPr="006D6470">
        <w:rPr>
          <w:rFonts w:ascii="Arial" w:hAnsi="Arial" w:cs="Arial"/>
          <w:sz w:val="24"/>
          <w:szCs w:val="24"/>
        </w:rPr>
        <w:t xml:space="preserve"> results of the </w:t>
      </w:r>
      <w:r>
        <w:rPr>
          <w:rFonts w:ascii="Arial" w:hAnsi="Arial" w:cs="Arial"/>
          <w:sz w:val="24"/>
          <w:szCs w:val="24"/>
        </w:rPr>
        <w:t>Equality Impact A</w:t>
      </w:r>
      <w:r w:rsidRPr="006D6470">
        <w:rPr>
          <w:rFonts w:ascii="Arial" w:hAnsi="Arial" w:cs="Arial"/>
          <w:sz w:val="24"/>
          <w:szCs w:val="24"/>
        </w:rPr>
        <w:t xml:space="preserve">ssessment will be published on an ongoing basis on the </w:t>
      </w:r>
      <w:hyperlink r:id="rId22" w:anchor="panel13403" w:history="1">
        <w:r w:rsidRPr="006D6470">
          <w:rPr>
            <w:rStyle w:val="Hyperlink"/>
            <w:rFonts w:ascii="Arial" w:hAnsi="Arial" w:cs="Arial"/>
            <w:sz w:val="24"/>
            <w:szCs w:val="24"/>
          </w:rPr>
          <w:t>Equality, Diversity, and Inclusion webpages</w:t>
        </w:r>
      </w:hyperlink>
      <w:r w:rsidRPr="006D6470">
        <w:rPr>
          <w:rFonts w:ascii="Arial" w:hAnsi="Arial" w:cs="Arial"/>
          <w:sz w:val="24"/>
          <w:szCs w:val="24"/>
        </w:rPr>
        <w:t>.</w:t>
      </w:r>
    </w:p>
    <w:p w14:paraId="4FA73F52" w14:textId="77777777" w:rsidR="00AC56DC" w:rsidRPr="006D6470" w:rsidRDefault="00AC56DC" w:rsidP="00AC56DC">
      <w:pPr>
        <w:spacing w:after="0" w:line="276" w:lineRule="auto"/>
        <w:rPr>
          <w:rFonts w:ascii="Arial" w:hAnsi="Arial" w:cs="Arial"/>
          <w:sz w:val="24"/>
          <w:szCs w:val="24"/>
        </w:rPr>
      </w:pPr>
    </w:p>
    <w:p w14:paraId="5E350607" w14:textId="77777777" w:rsidR="00AC56DC" w:rsidRPr="006D6470" w:rsidRDefault="00AC56DC" w:rsidP="00AC56DC">
      <w:pPr>
        <w:spacing w:after="0" w:line="276" w:lineRule="auto"/>
        <w:rPr>
          <w:rFonts w:ascii="Arial" w:hAnsi="Arial" w:cs="Arial"/>
          <w:sz w:val="24"/>
          <w:szCs w:val="24"/>
        </w:rPr>
      </w:pPr>
      <w:r w:rsidRPr="006D6470">
        <w:rPr>
          <w:rFonts w:ascii="Arial" w:hAnsi="Arial" w:cs="Arial"/>
          <w:sz w:val="24"/>
          <w:szCs w:val="24"/>
        </w:rPr>
        <w:t xml:space="preserve">It is the responsibility of the author to ensure that this documentation is published timeously and appropriately. Assistance with this can be sought from the </w:t>
      </w:r>
      <w:hyperlink r:id="rId23" w:history="1">
        <w:r w:rsidRPr="006D6470">
          <w:rPr>
            <w:rStyle w:val="Hyperlink"/>
            <w:rFonts w:ascii="Arial" w:hAnsi="Arial" w:cs="Arial"/>
            <w:color w:val="auto"/>
            <w:sz w:val="24"/>
            <w:szCs w:val="24"/>
            <w:u w:val="none"/>
          </w:rPr>
          <w:t xml:space="preserve">Equality, </w:t>
        </w:r>
        <w:proofErr w:type="gramStart"/>
        <w:r w:rsidRPr="006D6470">
          <w:rPr>
            <w:rStyle w:val="Hyperlink"/>
            <w:rFonts w:ascii="Arial" w:hAnsi="Arial" w:cs="Arial"/>
            <w:color w:val="auto"/>
            <w:sz w:val="24"/>
            <w:szCs w:val="24"/>
            <w:u w:val="none"/>
          </w:rPr>
          <w:t>Diversity</w:t>
        </w:r>
        <w:proofErr w:type="gramEnd"/>
        <w:r w:rsidRPr="006D6470">
          <w:rPr>
            <w:rStyle w:val="Hyperlink"/>
            <w:rFonts w:ascii="Arial" w:hAnsi="Arial" w:cs="Arial"/>
            <w:color w:val="auto"/>
            <w:sz w:val="24"/>
            <w:szCs w:val="24"/>
            <w:u w:val="none"/>
          </w:rPr>
          <w:t xml:space="preserve"> and Inclusion team</w:t>
        </w:r>
      </w:hyperlink>
      <w:r w:rsidRPr="006D6470">
        <w:rPr>
          <w:rFonts w:ascii="Arial" w:hAnsi="Arial" w:cs="Arial"/>
          <w:sz w:val="24"/>
          <w:szCs w:val="24"/>
        </w:rPr>
        <w:t>.</w:t>
      </w:r>
    </w:p>
    <w:p w14:paraId="33352132" w14:textId="77777777" w:rsidR="00AC56DC" w:rsidRPr="006D6470" w:rsidRDefault="00AC56DC" w:rsidP="00AC56DC">
      <w:pPr>
        <w:spacing w:after="0" w:line="276" w:lineRule="auto"/>
        <w:rPr>
          <w:rFonts w:ascii="Arial" w:hAnsi="Arial" w:cs="Arial"/>
          <w:sz w:val="24"/>
          <w:szCs w:val="24"/>
        </w:rPr>
      </w:pPr>
    </w:p>
    <w:p w14:paraId="18474F29" w14:textId="77777777" w:rsidR="00AC56DC" w:rsidRPr="006D6470" w:rsidRDefault="00AC56DC" w:rsidP="00AC56DC">
      <w:pPr>
        <w:pStyle w:val="BodyTextIndent2"/>
        <w:spacing w:after="0" w:line="276" w:lineRule="auto"/>
        <w:ind w:left="0"/>
        <w:rPr>
          <w:rFonts w:ascii="Arial" w:hAnsi="Arial" w:cs="Arial"/>
          <w:sz w:val="24"/>
          <w:szCs w:val="24"/>
        </w:rPr>
      </w:pPr>
      <w:r w:rsidRPr="006D6470">
        <w:rPr>
          <w:rFonts w:ascii="Arial" w:hAnsi="Arial" w:cs="Arial"/>
          <w:sz w:val="24"/>
          <w:szCs w:val="24"/>
        </w:rPr>
        <w:t xml:space="preserve">Information will be published in accordance with the </w:t>
      </w:r>
      <w:hyperlink r:id="rId24" w:history="1">
        <w:r w:rsidRPr="006D6470">
          <w:rPr>
            <w:rStyle w:val="Hyperlink"/>
            <w:rFonts w:ascii="Arial" w:hAnsi="Arial" w:cs="Arial"/>
            <w:sz w:val="24"/>
            <w:szCs w:val="24"/>
          </w:rPr>
          <w:t>Data Protection Act 2018</w:t>
        </w:r>
      </w:hyperlink>
      <w:r w:rsidRPr="006D6470">
        <w:rPr>
          <w:rFonts w:ascii="Arial" w:hAnsi="Arial" w:cs="Arial"/>
          <w:sz w:val="24"/>
          <w:szCs w:val="24"/>
        </w:rPr>
        <w:t>.</w:t>
      </w:r>
    </w:p>
    <w:p w14:paraId="7554CDF6" w14:textId="77777777" w:rsidR="002C1940" w:rsidRDefault="002C1940"/>
    <w:sectPr w:rsidR="002C1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6D0"/>
    <w:multiLevelType w:val="hybridMultilevel"/>
    <w:tmpl w:val="AE3E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F2A44"/>
    <w:multiLevelType w:val="hybridMultilevel"/>
    <w:tmpl w:val="36DA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96EA0"/>
    <w:multiLevelType w:val="hybridMultilevel"/>
    <w:tmpl w:val="C150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61BDB"/>
    <w:multiLevelType w:val="hybridMultilevel"/>
    <w:tmpl w:val="C7A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125757">
    <w:abstractNumId w:val="3"/>
  </w:num>
  <w:num w:numId="2" w16cid:durableId="1404138533">
    <w:abstractNumId w:val="1"/>
  </w:num>
  <w:num w:numId="3" w16cid:durableId="1866482108">
    <w:abstractNumId w:val="0"/>
  </w:num>
  <w:num w:numId="4" w16cid:durableId="2103716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56DC"/>
    <w:rsid w:val="000A0FDB"/>
    <w:rsid w:val="00103977"/>
    <w:rsid w:val="001103E2"/>
    <w:rsid w:val="00110B47"/>
    <w:rsid w:val="002333ED"/>
    <w:rsid w:val="00251EF9"/>
    <w:rsid w:val="00277302"/>
    <w:rsid w:val="002C1940"/>
    <w:rsid w:val="003B38CF"/>
    <w:rsid w:val="003D325C"/>
    <w:rsid w:val="004356E0"/>
    <w:rsid w:val="00541945"/>
    <w:rsid w:val="00641772"/>
    <w:rsid w:val="006A40A8"/>
    <w:rsid w:val="006F0006"/>
    <w:rsid w:val="006F15B9"/>
    <w:rsid w:val="00727F17"/>
    <w:rsid w:val="0079616A"/>
    <w:rsid w:val="008B15A0"/>
    <w:rsid w:val="008C34DB"/>
    <w:rsid w:val="00984CDA"/>
    <w:rsid w:val="009B6A47"/>
    <w:rsid w:val="009B749D"/>
    <w:rsid w:val="00AC56DC"/>
    <w:rsid w:val="00AD1209"/>
    <w:rsid w:val="00AF6B7C"/>
    <w:rsid w:val="00B24D2B"/>
    <w:rsid w:val="00B55B8A"/>
    <w:rsid w:val="00B91420"/>
    <w:rsid w:val="00BF486D"/>
    <w:rsid w:val="00C00494"/>
    <w:rsid w:val="00D85A4F"/>
    <w:rsid w:val="00DD07F3"/>
    <w:rsid w:val="00E321D6"/>
    <w:rsid w:val="00E55582"/>
    <w:rsid w:val="00F241A4"/>
    <w:rsid w:val="00F9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3DE09"/>
  <w15:chartTrackingRefBased/>
  <w15:docId w15:val="{3C9BFBEA-59DC-4D62-855A-CD62336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DC"/>
  </w:style>
  <w:style w:type="paragraph" w:styleId="Heading1">
    <w:name w:val="heading 1"/>
    <w:basedOn w:val="Normal"/>
    <w:next w:val="Normal"/>
    <w:link w:val="Heading1Char"/>
    <w:qFormat/>
    <w:rsid w:val="00AC5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C56DC"/>
    <w:pPr>
      <w:keepNext/>
      <w:spacing w:after="0" w:line="480" w:lineRule="auto"/>
      <w:outlineLvl w:val="1"/>
    </w:pPr>
    <w:rPr>
      <w:rFonts w:ascii="Arial" w:eastAsia="Times New Roman" w:hAnsi="Arial" w:cs="Arial"/>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6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AC56DC"/>
    <w:rPr>
      <w:rFonts w:ascii="Arial" w:eastAsia="Times New Roman" w:hAnsi="Arial" w:cs="Arial"/>
      <w:b/>
      <w:bCs/>
      <w:kern w:val="0"/>
      <w:sz w:val="24"/>
      <w:szCs w:val="24"/>
    </w:rPr>
  </w:style>
  <w:style w:type="paragraph" w:styleId="BodyText">
    <w:name w:val="Body Text"/>
    <w:basedOn w:val="Normal"/>
    <w:link w:val="BodyTextChar"/>
    <w:rsid w:val="00AC56DC"/>
    <w:pPr>
      <w:spacing w:after="0" w:line="480" w:lineRule="auto"/>
      <w:jc w:val="center"/>
    </w:pPr>
    <w:rPr>
      <w:rFonts w:ascii="Arial" w:eastAsia="Times New Roman" w:hAnsi="Arial" w:cs="Arial"/>
      <w:kern w:val="0"/>
      <w:sz w:val="44"/>
      <w:szCs w:val="24"/>
    </w:rPr>
  </w:style>
  <w:style w:type="character" w:customStyle="1" w:styleId="BodyTextChar">
    <w:name w:val="Body Text Char"/>
    <w:basedOn w:val="DefaultParagraphFont"/>
    <w:link w:val="BodyText"/>
    <w:rsid w:val="00AC56DC"/>
    <w:rPr>
      <w:rFonts w:ascii="Arial" w:eastAsia="Times New Roman" w:hAnsi="Arial" w:cs="Arial"/>
      <w:kern w:val="0"/>
      <w:sz w:val="44"/>
      <w:szCs w:val="24"/>
    </w:rPr>
  </w:style>
  <w:style w:type="paragraph" w:styleId="TOCHeading">
    <w:name w:val="TOC Heading"/>
    <w:basedOn w:val="Heading1"/>
    <w:next w:val="Normal"/>
    <w:uiPriority w:val="39"/>
    <w:unhideWhenUsed/>
    <w:qFormat/>
    <w:rsid w:val="00AC56DC"/>
    <w:pPr>
      <w:outlineLvl w:val="9"/>
    </w:pPr>
    <w:rPr>
      <w:kern w:val="0"/>
      <w:lang w:val="en-US"/>
    </w:rPr>
  </w:style>
  <w:style w:type="paragraph" w:styleId="TOC1">
    <w:name w:val="toc 1"/>
    <w:basedOn w:val="Normal"/>
    <w:next w:val="Normal"/>
    <w:autoRedefine/>
    <w:uiPriority w:val="39"/>
    <w:unhideWhenUsed/>
    <w:rsid w:val="00AC56DC"/>
    <w:pPr>
      <w:spacing w:after="100" w:line="240" w:lineRule="auto"/>
    </w:pPr>
    <w:rPr>
      <w:rFonts w:ascii="Times New Roman" w:eastAsia="Times New Roman" w:hAnsi="Times New Roman" w:cs="Times New Roman"/>
      <w:kern w:val="0"/>
      <w:sz w:val="24"/>
      <w:szCs w:val="24"/>
    </w:rPr>
  </w:style>
  <w:style w:type="paragraph" w:styleId="TOC2">
    <w:name w:val="toc 2"/>
    <w:basedOn w:val="Normal"/>
    <w:next w:val="Normal"/>
    <w:autoRedefine/>
    <w:uiPriority w:val="39"/>
    <w:unhideWhenUsed/>
    <w:rsid w:val="00AC56DC"/>
    <w:pPr>
      <w:spacing w:after="100"/>
      <w:ind w:left="220"/>
    </w:pPr>
    <w:rPr>
      <w:rFonts w:eastAsiaTheme="minorEastAsia" w:cs="Times New Roman"/>
      <w:kern w:val="0"/>
      <w:lang w:val="en-US"/>
    </w:rPr>
  </w:style>
  <w:style w:type="paragraph" w:styleId="TOC3">
    <w:name w:val="toc 3"/>
    <w:basedOn w:val="Normal"/>
    <w:next w:val="Normal"/>
    <w:autoRedefine/>
    <w:uiPriority w:val="39"/>
    <w:unhideWhenUsed/>
    <w:rsid w:val="00AC56DC"/>
    <w:pPr>
      <w:spacing w:after="100"/>
      <w:ind w:left="440"/>
    </w:pPr>
    <w:rPr>
      <w:rFonts w:eastAsiaTheme="minorEastAsia" w:cs="Times New Roman"/>
      <w:kern w:val="0"/>
      <w:lang w:val="en-US"/>
    </w:rPr>
  </w:style>
  <w:style w:type="character" w:styleId="Hyperlink">
    <w:name w:val="Hyperlink"/>
    <w:basedOn w:val="DefaultParagraphFont"/>
    <w:uiPriority w:val="99"/>
    <w:rsid w:val="00AC56DC"/>
    <w:rPr>
      <w:color w:val="0000FF"/>
      <w:u w:val="single"/>
    </w:rPr>
  </w:style>
  <w:style w:type="paragraph" w:styleId="ListParagraph">
    <w:name w:val="List Paragraph"/>
    <w:aliases w:val="Bulleted"/>
    <w:basedOn w:val="Normal"/>
    <w:link w:val="ListParagraphChar"/>
    <w:uiPriority w:val="1"/>
    <w:qFormat/>
    <w:rsid w:val="00AC56DC"/>
    <w:pPr>
      <w:ind w:left="720"/>
      <w:contextualSpacing/>
    </w:pPr>
    <w:rPr>
      <w:kern w:val="0"/>
    </w:rPr>
  </w:style>
  <w:style w:type="character" w:customStyle="1" w:styleId="ListParagraphChar">
    <w:name w:val="List Paragraph Char"/>
    <w:aliases w:val="Bulleted Char"/>
    <w:basedOn w:val="DefaultParagraphFont"/>
    <w:link w:val="ListParagraph"/>
    <w:uiPriority w:val="1"/>
    <w:locked/>
    <w:rsid w:val="00AC56DC"/>
    <w:rPr>
      <w:kern w:val="0"/>
    </w:rPr>
  </w:style>
  <w:style w:type="paragraph" w:styleId="BodyText2">
    <w:name w:val="Body Text 2"/>
    <w:basedOn w:val="Normal"/>
    <w:link w:val="BodyText2Char"/>
    <w:uiPriority w:val="99"/>
    <w:semiHidden/>
    <w:unhideWhenUsed/>
    <w:rsid w:val="00AC56DC"/>
    <w:pPr>
      <w:spacing w:after="120" w:line="480" w:lineRule="auto"/>
    </w:pPr>
  </w:style>
  <w:style w:type="character" w:customStyle="1" w:styleId="BodyText2Char">
    <w:name w:val="Body Text 2 Char"/>
    <w:basedOn w:val="DefaultParagraphFont"/>
    <w:link w:val="BodyText2"/>
    <w:uiPriority w:val="99"/>
    <w:semiHidden/>
    <w:rsid w:val="00AC56DC"/>
  </w:style>
  <w:style w:type="paragraph" w:styleId="BodyTextIndent2">
    <w:name w:val="Body Text Indent 2"/>
    <w:basedOn w:val="Normal"/>
    <w:link w:val="BodyTextIndent2Char"/>
    <w:uiPriority w:val="99"/>
    <w:semiHidden/>
    <w:unhideWhenUsed/>
    <w:rsid w:val="00AC56DC"/>
    <w:pPr>
      <w:spacing w:after="120" w:line="480" w:lineRule="auto"/>
      <w:ind w:left="283"/>
    </w:pPr>
  </w:style>
  <w:style w:type="character" w:customStyle="1" w:styleId="BodyTextIndent2Char">
    <w:name w:val="Body Text Indent 2 Char"/>
    <w:basedOn w:val="DefaultParagraphFont"/>
    <w:link w:val="BodyTextIndent2"/>
    <w:uiPriority w:val="99"/>
    <w:semiHidden/>
    <w:rsid w:val="00AC56DC"/>
  </w:style>
  <w:style w:type="paragraph" w:styleId="BodyTextIndent">
    <w:name w:val="Body Text Indent"/>
    <w:basedOn w:val="Normal"/>
    <w:link w:val="BodyTextIndentChar"/>
    <w:uiPriority w:val="99"/>
    <w:semiHidden/>
    <w:unhideWhenUsed/>
    <w:rsid w:val="00AC56DC"/>
    <w:pPr>
      <w:spacing w:after="120"/>
      <w:ind w:left="283"/>
    </w:pPr>
  </w:style>
  <w:style w:type="character" w:customStyle="1" w:styleId="BodyTextIndentChar">
    <w:name w:val="Body Text Indent Char"/>
    <w:basedOn w:val="DefaultParagraphFont"/>
    <w:link w:val="BodyTextIndent"/>
    <w:uiPriority w:val="99"/>
    <w:semiHidden/>
    <w:rsid w:val="00AC56DC"/>
  </w:style>
  <w:style w:type="character" w:customStyle="1" w:styleId="normaltextrun">
    <w:name w:val="normaltextrun"/>
    <w:basedOn w:val="DefaultParagraphFont"/>
    <w:rsid w:val="00AC56DC"/>
  </w:style>
  <w:style w:type="character" w:customStyle="1" w:styleId="findhit">
    <w:name w:val="findhit"/>
    <w:basedOn w:val="DefaultParagraphFont"/>
    <w:rsid w:val="00AC56DC"/>
  </w:style>
  <w:style w:type="paragraph" w:styleId="Revision">
    <w:name w:val="Revision"/>
    <w:hidden/>
    <w:uiPriority w:val="99"/>
    <w:semiHidden/>
    <w:rsid w:val="00AC5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gov.uk/discrimination-your-rights"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abdn.ac.uk/staffnet/governance/equality-diversity-and-inclusion-committee-9357.php" TargetMode="External"/><Relationship Id="rId7" Type="http://schemas.openxmlformats.org/officeDocument/2006/relationships/hyperlink" Target="https://www.legislation.gov.uk/ssi/2012/162/regulation/5/made" TargetMode="External"/><Relationship Id="rId12" Type="http://schemas.openxmlformats.org/officeDocument/2006/relationships/hyperlink" Target="https://www.gov.uk/discrimination-your-rights"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0/15/contents" TargetMode="External"/><Relationship Id="rId24" Type="http://schemas.openxmlformats.org/officeDocument/2006/relationships/hyperlink" Target="https://www.gov.uk/data-protection" TargetMode="External"/><Relationship Id="rId5" Type="http://schemas.openxmlformats.org/officeDocument/2006/relationships/settings" Target="settings.xml"/><Relationship Id="rId15" Type="http://schemas.openxmlformats.org/officeDocument/2006/relationships/hyperlink" Target="mailto:edi@abdn.ac.uk" TargetMode="External"/><Relationship Id="rId23" Type="http://schemas.openxmlformats.org/officeDocument/2006/relationships/hyperlink" Target="mailto:edi@abdn.ac.uk" TargetMode="External"/><Relationship Id="rId10" Type="http://schemas.openxmlformats.org/officeDocument/2006/relationships/hyperlink" Target="https://www.gov.uk/discrimination-your-rights" TargetMode="Externa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hyperlink" Target="https://www.gov.uk/discrimination-your-rights" TargetMode="External"/><Relationship Id="rId14" Type="http://schemas.openxmlformats.org/officeDocument/2006/relationships/hyperlink" Target="https://www.abdn.ac.uk/2040/inclusive/index.php" TargetMode="External"/><Relationship Id="rId22" Type="http://schemas.openxmlformats.org/officeDocument/2006/relationships/hyperlink" Target="https://www.abdn.ac.uk/staffnet/working-here/governance-policy-and-guidance-13323.ph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A4DF35-769B-4224-BB2B-9AC1CA0D64E3}" type="doc">
      <dgm:prSet loTypeId="urn:microsoft.com/office/officeart/2005/8/layout/cycle5" loCatId="cycle" qsTypeId="urn:microsoft.com/office/officeart/2005/8/quickstyle/simple2" qsCatId="simple" csTypeId="urn:microsoft.com/office/officeart/2005/8/colors/accent0_1" csCatId="mainScheme" phldr="1"/>
      <dgm:spPr/>
      <dgm:t>
        <a:bodyPr/>
        <a:lstStyle/>
        <a:p>
          <a:endParaRPr lang="en-GB"/>
        </a:p>
      </dgm:t>
    </dgm:pt>
    <dgm:pt modelId="{B22B3535-13B2-4FAD-8178-939176A5C80E}">
      <dgm:prSet phldrT="[Text]" custT="1"/>
      <dgm:spPr/>
      <dgm:t>
        <a:bodyPr/>
        <a:lstStyle/>
        <a:p>
          <a:pPr algn="ctr"/>
          <a:r>
            <a:rPr lang="en-GB" sz="1200">
              <a:latin typeface="Arial" panose="020B0604020202020204" pitchFamily="34" charset="0"/>
              <a:cs typeface="Arial" panose="020B0604020202020204" pitchFamily="34" charset="0"/>
            </a:rPr>
            <a:t>Collect data</a:t>
          </a:r>
        </a:p>
      </dgm:t>
    </dgm:pt>
    <dgm:pt modelId="{EC639B94-708E-4B47-812D-F1BF993F31DD}" type="parTrans" cxnId="{C2A97CF7-F5E9-4A0B-9ED4-999EBAC4B534}">
      <dgm:prSet/>
      <dgm:spPr/>
      <dgm:t>
        <a:bodyPr/>
        <a:lstStyle/>
        <a:p>
          <a:endParaRPr lang="en-GB"/>
        </a:p>
      </dgm:t>
    </dgm:pt>
    <dgm:pt modelId="{3BABBE43-32E8-4F75-9E00-852B83850FCD}" type="sibTrans" cxnId="{C2A97CF7-F5E9-4A0B-9ED4-999EBAC4B534}">
      <dgm:prSet/>
      <dgm:spPr/>
      <dgm:t>
        <a:bodyPr/>
        <a:lstStyle/>
        <a:p>
          <a:endParaRPr lang="en-GB"/>
        </a:p>
      </dgm:t>
    </dgm:pt>
    <dgm:pt modelId="{3499250D-DDAA-4FF6-B79B-67AAD834024D}">
      <dgm:prSet phldrT="[Text]" custT="1"/>
      <dgm:spPr/>
      <dgm:t>
        <a:bodyPr/>
        <a:lstStyle/>
        <a:p>
          <a:r>
            <a:rPr lang="en-GB" sz="1200">
              <a:latin typeface="Arial" panose="020B0604020202020204" pitchFamily="34" charset="0"/>
              <a:cs typeface="Arial" panose="020B0604020202020204" pitchFamily="34" charset="0"/>
            </a:rPr>
            <a:t>Publish the results of the impact assessment</a:t>
          </a:r>
        </a:p>
      </dgm:t>
    </dgm:pt>
    <dgm:pt modelId="{D46803A3-4B0B-4E2D-BAF6-A34DB9F7BE43}" type="parTrans" cxnId="{3D66CC73-CEB9-44C6-8D37-FFE64869C16A}">
      <dgm:prSet/>
      <dgm:spPr/>
      <dgm:t>
        <a:bodyPr/>
        <a:lstStyle/>
        <a:p>
          <a:endParaRPr lang="en-GB"/>
        </a:p>
      </dgm:t>
    </dgm:pt>
    <dgm:pt modelId="{4DD39921-39ED-4F76-A4DB-3E96E2788D9A}" type="sibTrans" cxnId="{3D66CC73-CEB9-44C6-8D37-FFE64869C16A}">
      <dgm:prSet/>
      <dgm:spPr/>
      <dgm:t>
        <a:bodyPr/>
        <a:lstStyle/>
        <a:p>
          <a:endParaRPr lang="en-GB"/>
        </a:p>
      </dgm:t>
    </dgm:pt>
    <dgm:pt modelId="{146A7194-2CFD-46C5-BE82-85DCBD144461}">
      <dgm:prSet phldrT="[Text]" custT="1"/>
      <dgm:spPr/>
      <dgm:t>
        <a:bodyPr/>
        <a:lstStyle/>
        <a:p>
          <a:r>
            <a:rPr lang="en-GB" sz="1200">
              <a:latin typeface="Arial" panose="020B0604020202020204" pitchFamily="34" charset="0"/>
              <a:cs typeface="Arial" panose="020B0604020202020204" pitchFamily="34" charset="0"/>
            </a:rPr>
            <a:t>Review the implemented policy or procedure</a:t>
          </a:r>
        </a:p>
      </dgm:t>
    </dgm:pt>
    <dgm:pt modelId="{63978CD6-11A1-4023-8C9E-7070F2CFA83A}" type="parTrans" cxnId="{90C6736D-A6D4-491B-B611-8F093CFF9CBE}">
      <dgm:prSet/>
      <dgm:spPr/>
      <dgm:t>
        <a:bodyPr/>
        <a:lstStyle/>
        <a:p>
          <a:endParaRPr lang="en-GB"/>
        </a:p>
      </dgm:t>
    </dgm:pt>
    <dgm:pt modelId="{25FDAED1-521F-44A7-B7E2-AB5D7C5E2D9C}" type="sibTrans" cxnId="{90C6736D-A6D4-491B-B611-8F093CFF9CBE}">
      <dgm:prSet/>
      <dgm:spPr/>
      <dgm:t>
        <a:bodyPr/>
        <a:lstStyle/>
        <a:p>
          <a:endParaRPr lang="en-GB"/>
        </a:p>
      </dgm:t>
    </dgm:pt>
    <dgm:pt modelId="{A435FC6E-49AD-4546-ADD9-FB98AD46EFA3}">
      <dgm:prSet phldrT="[Text]" custT="1"/>
      <dgm:spPr/>
      <dgm:t>
        <a:bodyPr/>
        <a:lstStyle/>
        <a:p>
          <a:r>
            <a:rPr lang="en-GB" sz="1200">
              <a:latin typeface="Arial" panose="020B0604020202020204" pitchFamily="34" charset="0"/>
              <a:cs typeface="Arial" panose="020B0604020202020204" pitchFamily="34" charset="0"/>
            </a:rPr>
            <a:t>Complete the impact assessment form</a:t>
          </a:r>
          <a:endParaRPr lang="en-GB" sz="1200"/>
        </a:p>
      </dgm:t>
    </dgm:pt>
    <dgm:pt modelId="{CA0A4A36-9415-40FC-85CF-A484E4EC7B19}" type="sibTrans" cxnId="{8FADC03C-38E4-47CF-8169-1762A2F57500}">
      <dgm:prSet/>
      <dgm:spPr/>
      <dgm:t>
        <a:bodyPr/>
        <a:lstStyle/>
        <a:p>
          <a:endParaRPr lang="en-GB"/>
        </a:p>
      </dgm:t>
    </dgm:pt>
    <dgm:pt modelId="{1969D856-9E22-41C3-8F5C-D4E9B3536649}" type="parTrans" cxnId="{8FADC03C-38E4-47CF-8169-1762A2F57500}">
      <dgm:prSet/>
      <dgm:spPr/>
      <dgm:t>
        <a:bodyPr/>
        <a:lstStyle/>
        <a:p>
          <a:endParaRPr lang="en-GB"/>
        </a:p>
      </dgm:t>
    </dgm:pt>
    <dgm:pt modelId="{6DF6C526-6CD0-4B8F-ABEB-A264D64F7194}">
      <dgm:prSet phldrT="[Text]" custT="1"/>
      <dgm:spPr/>
      <dgm:t>
        <a:bodyPr/>
        <a:lstStyle/>
        <a:p>
          <a:r>
            <a:rPr lang="en-GB" sz="1200">
              <a:latin typeface="Arial" panose="020B0604020202020204" pitchFamily="34" charset="0"/>
              <a:cs typeface="Arial" panose="020B0604020202020204" pitchFamily="34" charset="0"/>
            </a:rPr>
            <a:t>Consult with internal and external equality groups</a:t>
          </a:r>
        </a:p>
      </dgm:t>
    </dgm:pt>
    <dgm:pt modelId="{B05F4F4D-51D5-4AAC-BA43-7A545B8F421C}" type="sibTrans" cxnId="{3C4370BA-2C05-44E0-9703-278A8FE329A6}">
      <dgm:prSet/>
      <dgm:spPr/>
      <dgm:t>
        <a:bodyPr/>
        <a:lstStyle/>
        <a:p>
          <a:endParaRPr lang="en-GB"/>
        </a:p>
      </dgm:t>
    </dgm:pt>
    <dgm:pt modelId="{005510DE-DD0D-4C90-98F0-B2C392CDFB70}" type="parTrans" cxnId="{3C4370BA-2C05-44E0-9703-278A8FE329A6}">
      <dgm:prSet/>
      <dgm:spPr/>
      <dgm:t>
        <a:bodyPr/>
        <a:lstStyle/>
        <a:p>
          <a:endParaRPr lang="en-GB"/>
        </a:p>
      </dgm:t>
    </dgm:pt>
    <dgm:pt modelId="{884AE8F7-0F8B-491C-926D-640B622363F5}" type="pres">
      <dgm:prSet presAssocID="{06A4DF35-769B-4224-BB2B-9AC1CA0D64E3}" presName="cycle" presStyleCnt="0">
        <dgm:presLayoutVars>
          <dgm:dir/>
          <dgm:resizeHandles val="exact"/>
        </dgm:presLayoutVars>
      </dgm:prSet>
      <dgm:spPr/>
    </dgm:pt>
    <dgm:pt modelId="{E35FE41B-A9DD-42E5-B71F-147F8B7B5FC0}" type="pres">
      <dgm:prSet presAssocID="{B22B3535-13B2-4FAD-8178-939176A5C80E}" presName="node" presStyleLbl="node1" presStyleIdx="0" presStyleCnt="5" custScaleY="103877" custRadScaleRad="88557" custRadScaleInc="5815">
        <dgm:presLayoutVars>
          <dgm:bulletEnabled val="1"/>
        </dgm:presLayoutVars>
      </dgm:prSet>
      <dgm:spPr/>
    </dgm:pt>
    <dgm:pt modelId="{2E5D35AA-DD10-4D3E-AAED-058EEBFF2D6A}" type="pres">
      <dgm:prSet presAssocID="{B22B3535-13B2-4FAD-8178-939176A5C80E}" presName="spNode" presStyleCnt="0"/>
      <dgm:spPr/>
    </dgm:pt>
    <dgm:pt modelId="{6FC823C3-E7F2-48CF-A926-9BF8AC8E6029}" type="pres">
      <dgm:prSet presAssocID="{3BABBE43-32E8-4F75-9E00-852B83850FCD}" presName="sibTrans" presStyleLbl="sibTrans1D1" presStyleIdx="0" presStyleCnt="5"/>
      <dgm:spPr/>
    </dgm:pt>
    <dgm:pt modelId="{B355843D-774D-4079-BF32-C9CC9AB26713}" type="pres">
      <dgm:prSet presAssocID="{6DF6C526-6CD0-4B8F-ABEB-A264D64F7194}" presName="node" presStyleLbl="node1" presStyleIdx="1" presStyleCnt="5" custScaleY="134186">
        <dgm:presLayoutVars>
          <dgm:bulletEnabled val="1"/>
        </dgm:presLayoutVars>
      </dgm:prSet>
      <dgm:spPr/>
    </dgm:pt>
    <dgm:pt modelId="{E4DA03A6-2E83-4F85-8A79-8C3B5C9D7983}" type="pres">
      <dgm:prSet presAssocID="{6DF6C526-6CD0-4B8F-ABEB-A264D64F7194}" presName="spNode" presStyleCnt="0"/>
      <dgm:spPr/>
    </dgm:pt>
    <dgm:pt modelId="{29ABF420-46E3-4362-86D8-4E0FB4D3449F}" type="pres">
      <dgm:prSet presAssocID="{B05F4F4D-51D5-4AAC-BA43-7A545B8F421C}" presName="sibTrans" presStyleLbl="sibTrans1D1" presStyleIdx="1" presStyleCnt="5"/>
      <dgm:spPr/>
    </dgm:pt>
    <dgm:pt modelId="{EEB326EB-3A71-4A3A-BBC5-FA1351616834}" type="pres">
      <dgm:prSet presAssocID="{A435FC6E-49AD-4546-ADD9-FB98AD46EFA3}" presName="node" presStyleLbl="node1" presStyleIdx="2" presStyleCnt="5">
        <dgm:presLayoutVars>
          <dgm:bulletEnabled val="1"/>
        </dgm:presLayoutVars>
      </dgm:prSet>
      <dgm:spPr/>
    </dgm:pt>
    <dgm:pt modelId="{CB70B6EE-98FD-4134-840D-40193E1DE3C5}" type="pres">
      <dgm:prSet presAssocID="{A435FC6E-49AD-4546-ADD9-FB98AD46EFA3}" presName="spNode" presStyleCnt="0"/>
      <dgm:spPr/>
    </dgm:pt>
    <dgm:pt modelId="{FC7780B7-C658-49F4-A852-08FFBE98E389}" type="pres">
      <dgm:prSet presAssocID="{CA0A4A36-9415-40FC-85CF-A484E4EC7B19}" presName="sibTrans" presStyleLbl="sibTrans1D1" presStyleIdx="2" presStyleCnt="5"/>
      <dgm:spPr/>
    </dgm:pt>
    <dgm:pt modelId="{39DCEC72-58AD-4BDD-B847-5E1ACE00B01B}" type="pres">
      <dgm:prSet presAssocID="{3499250D-DDAA-4FF6-B79B-67AAD834024D}" presName="node" presStyleLbl="node1" presStyleIdx="3" presStyleCnt="5">
        <dgm:presLayoutVars>
          <dgm:bulletEnabled val="1"/>
        </dgm:presLayoutVars>
      </dgm:prSet>
      <dgm:spPr/>
    </dgm:pt>
    <dgm:pt modelId="{2A4F1B20-51F1-44D2-9029-690232C8CED2}" type="pres">
      <dgm:prSet presAssocID="{3499250D-DDAA-4FF6-B79B-67AAD834024D}" presName="spNode" presStyleCnt="0"/>
      <dgm:spPr/>
    </dgm:pt>
    <dgm:pt modelId="{2157DD44-AA5D-4A8F-8322-983018E7E750}" type="pres">
      <dgm:prSet presAssocID="{4DD39921-39ED-4F76-A4DB-3E96E2788D9A}" presName="sibTrans" presStyleLbl="sibTrans1D1" presStyleIdx="3" presStyleCnt="5"/>
      <dgm:spPr/>
    </dgm:pt>
    <dgm:pt modelId="{5FE79C08-9367-4BE3-8567-9CF3A015B79D}" type="pres">
      <dgm:prSet presAssocID="{146A7194-2CFD-46C5-BE82-85DCBD144461}" presName="node" presStyleLbl="node1" presStyleIdx="4" presStyleCnt="5" custScaleX="113488">
        <dgm:presLayoutVars>
          <dgm:bulletEnabled val="1"/>
        </dgm:presLayoutVars>
      </dgm:prSet>
      <dgm:spPr/>
    </dgm:pt>
    <dgm:pt modelId="{0C2AD407-448C-4630-935A-DCE44E60EA52}" type="pres">
      <dgm:prSet presAssocID="{146A7194-2CFD-46C5-BE82-85DCBD144461}" presName="spNode" presStyleCnt="0"/>
      <dgm:spPr/>
    </dgm:pt>
    <dgm:pt modelId="{6FEE8E72-D400-43BD-BA93-A05F40B14093}" type="pres">
      <dgm:prSet presAssocID="{25FDAED1-521F-44A7-B7E2-AB5D7C5E2D9C}" presName="sibTrans" presStyleLbl="sibTrans1D1" presStyleIdx="4" presStyleCnt="5"/>
      <dgm:spPr/>
    </dgm:pt>
  </dgm:ptLst>
  <dgm:cxnLst>
    <dgm:cxn modelId="{6225D705-95ED-4A7C-8559-718B6FFED0C3}" type="presOf" srcId="{CA0A4A36-9415-40FC-85CF-A484E4EC7B19}" destId="{FC7780B7-C658-49F4-A852-08FFBE98E389}" srcOrd="0" destOrd="0" presId="urn:microsoft.com/office/officeart/2005/8/layout/cycle5"/>
    <dgm:cxn modelId="{8FADC03C-38E4-47CF-8169-1762A2F57500}" srcId="{06A4DF35-769B-4224-BB2B-9AC1CA0D64E3}" destId="{A435FC6E-49AD-4546-ADD9-FB98AD46EFA3}" srcOrd="2" destOrd="0" parTransId="{1969D856-9E22-41C3-8F5C-D4E9B3536649}" sibTransId="{CA0A4A36-9415-40FC-85CF-A484E4EC7B19}"/>
    <dgm:cxn modelId="{90C6736D-A6D4-491B-B611-8F093CFF9CBE}" srcId="{06A4DF35-769B-4224-BB2B-9AC1CA0D64E3}" destId="{146A7194-2CFD-46C5-BE82-85DCBD144461}" srcOrd="4" destOrd="0" parTransId="{63978CD6-11A1-4023-8C9E-7070F2CFA83A}" sibTransId="{25FDAED1-521F-44A7-B7E2-AB5D7C5E2D9C}"/>
    <dgm:cxn modelId="{3D66CC73-CEB9-44C6-8D37-FFE64869C16A}" srcId="{06A4DF35-769B-4224-BB2B-9AC1CA0D64E3}" destId="{3499250D-DDAA-4FF6-B79B-67AAD834024D}" srcOrd="3" destOrd="0" parTransId="{D46803A3-4B0B-4E2D-BAF6-A34DB9F7BE43}" sibTransId="{4DD39921-39ED-4F76-A4DB-3E96E2788D9A}"/>
    <dgm:cxn modelId="{39B44577-5367-4B5C-8A73-AEE20DC2C4E4}" type="presOf" srcId="{6DF6C526-6CD0-4B8F-ABEB-A264D64F7194}" destId="{B355843D-774D-4079-BF32-C9CC9AB26713}" srcOrd="0" destOrd="0" presId="urn:microsoft.com/office/officeart/2005/8/layout/cycle5"/>
    <dgm:cxn modelId="{9967FD79-870D-4776-A895-86D1A2BBC420}" type="presOf" srcId="{B22B3535-13B2-4FAD-8178-939176A5C80E}" destId="{E35FE41B-A9DD-42E5-B71F-147F8B7B5FC0}" srcOrd="0" destOrd="0" presId="urn:microsoft.com/office/officeart/2005/8/layout/cycle5"/>
    <dgm:cxn modelId="{5C6A958E-8724-4183-9420-9D1C02637C99}" type="presOf" srcId="{B05F4F4D-51D5-4AAC-BA43-7A545B8F421C}" destId="{29ABF420-46E3-4362-86D8-4E0FB4D3449F}" srcOrd="0" destOrd="0" presId="urn:microsoft.com/office/officeart/2005/8/layout/cycle5"/>
    <dgm:cxn modelId="{BF925099-278A-4224-A586-91AE06A9472A}" type="presOf" srcId="{146A7194-2CFD-46C5-BE82-85DCBD144461}" destId="{5FE79C08-9367-4BE3-8567-9CF3A015B79D}" srcOrd="0" destOrd="0" presId="urn:microsoft.com/office/officeart/2005/8/layout/cycle5"/>
    <dgm:cxn modelId="{44A4BAB8-635D-4F79-A6C7-066076659C47}" type="presOf" srcId="{25FDAED1-521F-44A7-B7E2-AB5D7C5E2D9C}" destId="{6FEE8E72-D400-43BD-BA93-A05F40B14093}" srcOrd="0" destOrd="0" presId="urn:microsoft.com/office/officeart/2005/8/layout/cycle5"/>
    <dgm:cxn modelId="{3C4370BA-2C05-44E0-9703-278A8FE329A6}" srcId="{06A4DF35-769B-4224-BB2B-9AC1CA0D64E3}" destId="{6DF6C526-6CD0-4B8F-ABEB-A264D64F7194}" srcOrd="1" destOrd="0" parTransId="{005510DE-DD0D-4C90-98F0-B2C392CDFB70}" sibTransId="{B05F4F4D-51D5-4AAC-BA43-7A545B8F421C}"/>
    <dgm:cxn modelId="{8B3561C0-ECE8-49D3-B28A-F17D3465DAC1}" type="presOf" srcId="{06A4DF35-769B-4224-BB2B-9AC1CA0D64E3}" destId="{884AE8F7-0F8B-491C-926D-640B622363F5}" srcOrd="0" destOrd="0" presId="urn:microsoft.com/office/officeart/2005/8/layout/cycle5"/>
    <dgm:cxn modelId="{2C761CC1-32CB-480C-8A60-03701BC39324}" type="presOf" srcId="{3BABBE43-32E8-4F75-9E00-852B83850FCD}" destId="{6FC823C3-E7F2-48CF-A926-9BF8AC8E6029}" srcOrd="0" destOrd="0" presId="urn:microsoft.com/office/officeart/2005/8/layout/cycle5"/>
    <dgm:cxn modelId="{E8EA3FE9-4A5B-4014-8142-368A87114A4F}" type="presOf" srcId="{4DD39921-39ED-4F76-A4DB-3E96E2788D9A}" destId="{2157DD44-AA5D-4A8F-8322-983018E7E750}" srcOrd="0" destOrd="0" presId="urn:microsoft.com/office/officeart/2005/8/layout/cycle5"/>
    <dgm:cxn modelId="{224EC8F4-8BC3-412F-9034-8C92DF6C1BA6}" type="presOf" srcId="{3499250D-DDAA-4FF6-B79B-67AAD834024D}" destId="{39DCEC72-58AD-4BDD-B847-5E1ACE00B01B}" srcOrd="0" destOrd="0" presId="urn:microsoft.com/office/officeart/2005/8/layout/cycle5"/>
    <dgm:cxn modelId="{C2A97CF7-F5E9-4A0B-9ED4-999EBAC4B534}" srcId="{06A4DF35-769B-4224-BB2B-9AC1CA0D64E3}" destId="{B22B3535-13B2-4FAD-8178-939176A5C80E}" srcOrd="0" destOrd="0" parTransId="{EC639B94-708E-4B47-812D-F1BF993F31DD}" sibTransId="{3BABBE43-32E8-4F75-9E00-852B83850FCD}"/>
    <dgm:cxn modelId="{18B46EFA-71C6-48C7-A8DE-4F33B8EF03AD}" type="presOf" srcId="{A435FC6E-49AD-4546-ADD9-FB98AD46EFA3}" destId="{EEB326EB-3A71-4A3A-BBC5-FA1351616834}" srcOrd="0" destOrd="0" presId="urn:microsoft.com/office/officeart/2005/8/layout/cycle5"/>
    <dgm:cxn modelId="{EE3D2337-57B3-47AF-B506-46AA5128817C}" type="presParOf" srcId="{884AE8F7-0F8B-491C-926D-640B622363F5}" destId="{E35FE41B-A9DD-42E5-B71F-147F8B7B5FC0}" srcOrd="0" destOrd="0" presId="urn:microsoft.com/office/officeart/2005/8/layout/cycle5"/>
    <dgm:cxn modelId="{586876C4-949D-4092-A7C6-FF7A24050D02}" type="presParOf" srcId="{884AE8F7-0F8B-491C-926D-640B622363F5}" destId="{2E5D35AA-DD10-4D3E-AAED-058EEBFF2D6A}" srcOrd="1" destOrd="0" presId="urn:microsoft.com/office/officeart/2005/8/layout/cycle5"/>
    <dgm:cxn modelId="{2F264B3B-5532-446C-B432-7E6E5CE264C2}" type="presParOf" srcId="{884AE8F7-0F8B-491C-926D-640B622363F5}" destId="{6FC823C3-E7F2-48CF-A926-9BF8AC8E6029}" srcOrd="2" destOrd="0" presId="urn:microsoft.com/office/officeart/2005/8/layout/cycle5"/>
    <dgm:cxn modelId="{BFFED09D-A46D-4C91-9F7C-90D15E8CB537}" type="presParOf" srcId="{884AE8F7-0F8B-491C-926D-640B622363F5}" destId="{B355843D-774D-4079-BF32-C9CC9AB26713}" srcOrd="3" destOrd="0" presId="urn:microsoft.com/office/officeart/2005/8/layout/cycle5"/>
    <dgm:cxn modelId="{0EFD63BE-F249-4890-BC42-87868CC3DAE4}" type="presParOf" srcId="{884AE8F7-0F8B-491C-926D-640B622363F5}" destId="{E4DA03A6-2E83-4F85-8A79-8C3B5C9D7983}" srcOrd="4" destOrd="0" presId="urn:microsoft.com/office/officeart/2005/8/layout/cycle5"/>
    <dgm:cxn modelId="{892FA444-D761-4268-B012-8A3BDF26B85D}" type="presParOf" srcId="{884AE8F7-0F8B-491C-926D-640B622363F5}" destId="{29ABF420-46E3-4362-86D8-4E0FB4D3449F}" srcOrd="5" destOrd="0" presId="urn:microsoft.com/office/officeart/2005/8/layout/cycle5"/>
    <dgm:cxn modelId="{61789167-84AC-4A2E-BB10-0A4094B8E374}" type="presParOf" srcId="{884AE8F7-0F8B-491C-926D-640B622363F5}" destId="{EEB326EB-3A71-4A3A-BBC5-FA1351616834}" srcOrd="6" destOrd="0" presId="urn:microsoft.com/office/officeart/2005/8/layout/cycle5"/>
    <dgm:cxn modelId="{737AAB16-C5F5-4CB5-AE08-B4CB06DB8B87}" type="presParOf" srcId="{884AE8F7-0F8B-491C-926D-640B622363F5}" destId="{CB70B6EE-98FD-4134-840D-40193E1DE3C5}" srcOrd="7" destOrd="0" presId="urn:microsoft.com/office/officeart/2005/8/layout/cycle5"/>
    <dgm:cxn modelId="{AD0B38BB-4620-4EA2-B23E-D4970CB2A7E4}" type="presParOf" srcId="{884AE8F7-0F8B-491C-926D-640B622363F5}" destId="{FC7780B7-C658-49F4-A852-08FFBE98E389}" srcOrd="8" destOrd="0" presId="urn:microsoft.com/office/officeart/2005/8/layout/cycle5"/>
    <dgm:cxn modelId="{B8A2BDE6-496E-4F6D-8D9D-3C4705045007}" type="presParOf" srcId="{884AE8F7-0F8B-491C-926D-640B622363F5}" destId="{39DCEC72-58AD-4BDD-B847-5E1ACE00B01B}" srcOrd="9" destOrd="0" presId="urn:microsoft.com/office/officeart/2005/8/layout/cycle5"/>
    <dgm:cxn modelId="{947A8A69-3D3A-486E-868A-E0EFD1D336EB}" type="presParOf" srcId="{884AE8F7-0F8B-491C-926D-640B622363F5}" destId="{2A4F1B20-51F1-44D2-9029-690232C8CED2}" srcOrd="10" destOrd="0" presId="urn:microsoft.com/office/officeart/2005/8/layout/cycle5"/>
    <dgm:cxn modelId="{512EEB61-7A3E-4523-B6E8-29CC1CD2A552}" type="presParOf" srcId="{884AE8F7-0F8B-491C-926D-640B622363F5}" destId="{2157DD44-AA5D-4A8F-8322-983018E7E750}" srcOrd="11" destOrd="0" presId="urn:microsoft.com/office/officeart/2005/8/layout/cycle5"/>
    <dgm:cxn modelId="{F069C545-8482-430B-83A5-88DB4276A160}" type="presParOf" srcId="{884AE8F7-0F8B-491C-926D-640B622363F5}" destId="{5FE79C08-9367-4BE3-8567-9CF3A015B79D}" srcOrd="12" destOrd="0" presId="urn:microsoft.com/office/officeart/2005/8/layout/cycle5"/>
    <dgm:cxn modelId="{F0A47CBE-E000-4339-91CB-8AD2F3A24D16}" type="presParOf" srcId="{884AE8F7-0F8B-491C-926D-640B622363F5}" destId="{0C2AD407-448C-4630-935A-DCE44E60EA52}" srcOrd="13" destOrd="0" presId="urn:microsoft.com/office/officeart/2005/8/layout/cycle5"/>
    <dgm:cxn modelId="{F6A8A769-FD16-4706-90DB-F073E7578410}" type="presParOf" srcId="{884AE8F7-0F8B-491C-926D-640B622363F5}" destId="{6FEE8E72-D400-43BD-BA93-A05F40B14093}" srcOrd="14"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5FE41B-A9DD-42E5-B71F-147F8B7B5FC0}">
      <dsp:nvSpPr>
        <dsp:cNvPr id="0" name=""/>
        <dsp:cNvSpPr/>
      </dsp:nvSpPr>
      <dsp:spPr>
        <a:xfrm>
          <a:off x="2190201" y="146298"/>
          <a:ext cx="1019837" cy="688594"/>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Collect data</a:t>
          </a:r>
        </a:p>
      </dsp:txBody>
      <dsp:txXfrm>
        <a:off x="2223815" y="179912"/>
        <a:ext cx="952609" cy="621366"/>
      </dsp:txXfrm>
    </dsp:sp>
    <dsp:sp modelId="{6FC823C3-E7F2-48CF-A926-9BF8AC8E6029}">
      <dsp:nvSpPr>
        <dsp:cNvPr id="0" name=""/>
        <dsp:cNvSpPr/>
      </dsp:nvSpPr>
      <dsp:spPr>
        <a:xfrm>
          <a:off x="1642688" y="598747"/>
          <a:ext cx="2649786" cy="2649786"/>
        </a:xfrm>
        <a:custGeom>
          <a:avLst/>
          <a:gdLst/>
          <a:ahLst/>
          <a:cxnLst/>
          <a:rect l="0" t="0" r="0" b="0"/>
          <a:pathLst>
            <a:path>
              <a:moveTo>
                <a:pt x="1666864" y="44894"/>
              </a:moveTo>
              <a:arcTo wR="1324893" hR="1324893" stAng="17097485" swAng="802751"/>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355843D-774D-4079-BF32-C9CC9AB26713}">
      <dsp:nvSpPr>
        <dsp:cNvPr id="0" name=""/>
        <dsp:cNvSpPr/>
      </dsp:nvSpPr>
      <dsp:spPr>
        <a:xfrm>
          <a:off x="3421673" y="809363"/>
          <a:ext cx="1019837" cy="889511"/>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Consult with internal and external equality groups</a:t>
          </a:r>
        </a:p>
      </dsp:txBody>
      <dsp:txXfrm>
        <a:off x="3465095" y="852785"/>
        <a:ext cx="932993" cy="802667"/>
      </dsp:txXfrm>
    </dsp:sp>
    <dsp:sp modelId="{29ABF420-46E3-4362-86D8-4E0FB4D3449F}">
      <dsp:nvSpPr>
        <dsp:cNvPr id="0" name=""/>
        <dsp:cNvSpPr/>
      </dsp:nvSpPr>
      <dsp:spPr>
        <a:xfrm>
          <a:off x="1346650" y="338640"/>
          <a:ext cx="2649786" cy="2649786"/>
        </a:xfrm>
        <a:custGeom>
          <a:avLst/>
          <a:gdLst/>
          <a:ahLst/>
          <a:cxnLst/>
          <a:rect l="0" t="0" r="0" b="0"/>
          <a:pathLst>
            <a:path>
              <a:moveTo>
                <a:pt x="2637111" y="1507718"/>
              </a:moveTo>
              <a:arcTo wR="1324893" hR="1324893" stAng="475901" swAng="117848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EB326EB-3A71-4A3A-BBC5-FA1351616834}">
      <dsp:nvSpPr>
        <dsp:cNvPr id="0" name=""/>
        <dsp:cNvSpPr/>
      </dsp:nvSpPr>
      <dsp:spPr>
        <a:xfrm>
          <a:off x="2940377" y="2403947"/>
          <a:ext cx="1019837" cy="662894"/>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Complete the impact assessment form</a:t>
          </a:r>
          <a:endParaRPr lang="en-GB" sz="1200" kern="1200"/>
        </a:p>
      </dsp:txBody>
      <dsp:txXfrm>
        <a:off x="2972737" y="2436307"/>
        <a:ext cx="955117" cy="598174"/>
      </dsp:txXfrm>
    </dsp:sp>
    <dsp:sp modelId="{FC7780B7-C658-49F4-A852-08FFBE98E389}">
      <dsp:nvSpPr>
        <dsp:cNvPr id="0" name=""/>
        <dsp:cNvSpPr/>
      </dsp:nvSpPr>
      <dsp:spPr>
        <a:xfrm>
          <a:off x="1346650" y="338640"/>
          <a:ext cx="2649786" cy="2649786"/>
        </a:xfrm>
        <a:custGeom>
          <a:avLst/>
          <a:gdLst/>
          <a:ahLst/>
          <a:cxnLst/>
          <a:rect l="0" t="0" r="0" b="0"/>
          <a:pathLst>
            <a:path>
              <a:moveTo>
                <a:pt x="1487661" y="2639750"/>
              </a:moveTo>
              <a:arcTo wR="1324893" hR="1324893" stAng="4976591" swAng="846819"/>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9DCEC72-58AD-4BDD-B847-5E1ACE00B01B}">
      <dsp:nvSpPr>
        <dsp:cNvPr id="0" name=""/>
        <dsp:cNvSpPr/>
      </dsp:nvSpPr>
      <dsp:spPr>
        <a:xfrm>
          <a:off x="1382872" y="2403947"/>
          <a:ext cx="1019837" cy="662894"/>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Publish the results of the impact assessment</a:t>
          </a:r>
        </a:p>
      </dsp:txBody>
      <dsp:txXfrm>
        <a:off x="1415232" y="2436307"/>
        <a:ext cx="955117" cy="598174"/>
      </dsp:txXfrm>
    </dsp:sp>
    <dsp:sp modelId="{2157DD44-AA5D-4A8F-8322-983018E7E750}">
      <dsp:nvSpPr>
        <dsp:cNvPr id="0" name=""/>
        <dsp:cNvSpPr/>
      </dsp:nvSpPr>
      <dsp:spPr>
        <a:xfrm>
          <a:off x="1346650" y="338640"/>
          <a:ext cx="2649786" cy="2649786"/>
        </a:xfrm>
        <a:custGeom>
          <a:avLst/>
          <a:gdLst/>
          <a:ahLst/>
          <a:cxnLst/>
          <a:rect l="0" t="0" r="0" b="0"/>
          <a:pathLst>
            <a:path>
              <a:moveTo>
                <a:pt x="140625" y="1918906"/>
              </a:moveTo>
              <a:arcTo wR="1324893" hR="1324893" stAng="9201734" swAng="1360383"/>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FE79C08-9367-4BE3-8567-9CF3A015B79D}">
      <dsp:nvSpPr>
        <dsp:cNvPr id="0" name=""/>
        <dsp:cNvSpPr/>
      </dsp:nvSpPr>
      <dsp:spPr>
        <a:xfrm>
          <a:off x="832799" y="922671"/>
          <a:ext cx="1157392" cy="662894"/>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Review the implemented policy or procedure</a:t>
          </a:r>
        </a:p>
      </dsp:txBody>
      <dsp:txXfrm>
        <a:off x="865159" y="955031"/>
        <a:ext cx="1092672" cy="598174"/>
      </dsp:txXfrm>
    </dsp:sp>
    <dsp:sp modelId="{6FEE8E72-D400-43BD-BA93-A05F40B14093}">
      <dsp:nvSpPr>
        <dsp:cNvPr id="0" name=""/>
        <dsp:cNvSpPr/>
      </dsp:nvSpPr>
      <dsp:spPr>
        <a:xfrm>
          <a:off x="1158225" y="560743"/>
          <a:ext cx="2649786" cy="2649786"/>
        </a:xfrm>
        <a:custGeom>
          <a:avLst/>
          <a:gdLst/>
          <a:ahLst/>
          <a:cxnLst/>
          <a:rect l="0" t="0" r="0" b="0"/>
          <a:pathLst>
            <a:path>
              <a:moveTo>
                <a:pt x="521463" y="271402"/>
              </a:moveTo>
              <a:arcTo wR="1324893" hR="1324893" stAng="13960175" swAng="1110526"/>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E2A256287E148BD67AE9C58AD8265" ma:contentTypeVersion="14" ma:contentTypeDescription="Create a new document." ma:contentTypeScope="" ma:versionID="5e3aacb2ae1d09cc7a713001df9d0e8c">
  <xsd:schema xmlns:xsd="http://www.w3.org/2001/XMLSchema" xmlns:xs="http://www.w3.org/2001/XMLSchema" xmlns:p="http://schemas.microsoft.com/office/2006/metadata/properties" xmlns:ns2="c2cbd189-ca79-4e30-a19f-ac4b1165c73e" xmlns:ns3="2450a831-3a9d-4e0b-bbb4-d40fb62fbd2b" xmlns:ns4="600fe1d4-0bed-4ae1-99b2-a080a88c64c6" targetNamespace="http://schemas.microsoft.com/office/2006/metadata/properties" ma:root="true" ma:fieldsID="11ce70dbc868754a1bd13e3198a3c263" ns2:_="" ns3:_="" ns4:_="">
    <xsd:import namespace="c2cbd189-ca79-4e30-a19f-ac4b1165c73e"/>
    <xsd:import namespace="2450a831-3a9d-4e0b-bbb4-d40fb62fbd2b"/>
    <xsd:import namespace="600fe1d4-0bed-4ae1-99b2-a080a88c6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d189-ca79-4e30-a19f-ac4b1165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d943a5-73c1-4bef-ae71-28d224ddf1b8}" ma:internalName="TaxCatchAll" ma:showField="CatchAllData" ma:web="600fe1d4-0bed-4ae1-99b2-a080a88c64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0fe1d4-0bed-4ae1-99b2-a080a88c64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05082-06A2-4ACD-AD8A-870A7FA5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bd189-ca79-4e30-a19f-ac4b1165c73e"/>
    <ds:schemaRef ds:uri="2450a831-3a9d-4e0b-bbb4-d40fb62fbd2b"/>
    <ds:schemaRef ds:uri="600fe1d4-0bed-4ae1-99b2-a080a88c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7AABD-0CD2-4C60-B725-590B171E3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8115</Characters>
  <Application>Microsoft Office Word</Application>
  <DocSecurity>0</DocSecurity>
  <Lines>208</Lines>
  <Paragraphs>92</Paragraphs>
  <ScaleCrop>false</ScaleCrop>
  <Company>University of Aberdeen</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Ceit</dc:creator>
  <cp:keywords/>
  <dc:description/>
  <cp:lastModifiedBy>Mackintosh, Ceit</cp:lastModifiedBy>
  <cp:revision>3</cp:revision>
  <dcterms:created xsi:type="dcterms:W3CDTF">2024-02-02T10:57:00Z</dcterms:created>
  <dcterms:modified xsi:type="dcterms:W3CDTF">2024-02-02T10:57:00Z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6c9e4c8f-ae0d-42ec-8a07-d6e5801ef8ae</vt:lpwstr>
  </property>
</Properties>
</file>