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2ADA" w14:textId="77777777" w:rsidR="00F70869" w:rsidRDefault="00F70869" w:rsidP="00F70869">
      <w:pPr>
        <w:jc w:val="center"/>
        <w:rPr>
          <w:color w:val="000000" w:themeColor="text1"/>
          <w:sz w:val="24"/>
          <w:szCs w:val="24"/>
        </w:rPr>
      </w:pPr>
      <w:r w:rsidRPr="2EF23444">
        <w:rPr>
          <w:color w:val="000000" w:themeColor="text1"/>
          <w:sz w:val="24"/>
          <w:szCs w:val="24"/>
        </w:rPr>
        <w:t xml:space="preserve">Psychology </w:t>
      </w:r>
      <w:proofErr w:type="spellStart"/>
      <w:r w:rsidRPr="2EF23444">
        <w:rPr>
          <w:color w:val="000000" w:themeColor="text1"/>
          <w:sz w:val="24"/>
          <w:szCs w:val="24"/>
        </w:rPr>
        <w:t>worktribe</w:t>
      </w:r>
      <w:proofErr w:type="spellEnd"/>
      <w:r w:rsidRPr="2EF23444">
        <w:rPr>
          <w:color w:val="000000" w:themeColor="text1"/>
          <w:sz w:val="24"/>
          <w:szCs w:val="24"/>
        </w:rPr>
        <w:t xml:space="preserve"> ethics system – guidance for reviewers</w:t>
      </w:r>
    </w:p>
    <w:p w14:paraId="0D8EE35C" w14:textId="77777777" w:rsidR="00F70869" w:rsidRDefault="00F70869" w:rsidP="00F70869">
      <w:pPr>
        <w:jc w:val="center"/>
        <w:rPr>
          <w:color w:val="000000" w:themeColor="text1"/>
          <w:sz w:val="24"/>
          <w:szCs w:val="24"/>
        </w:rPr>
      </w:pPr>
      <w:r w:rsidRPr="2EF23444">
        <w:rPr>
          <w:color w:val="000000" w:themeColor="text1"/>
          <w:sz w:val="24"/>
          <w:szCs w:val="24"/>
        </w:rPr>
        <w:t>Version 1, March 2023</w:t>
      </w:r>
    </w:p>
    <w:p w14:paraId="3DB50522" w14:textId="77777777" w:rsidR="00F70869" w:rsidRDefault="00F70869" w:rsidP="00F70869">
      <w:pPr>
        <w:rPr>
          <w:color w:val="000000" w:themeColor="text1"/>
          <w:sz w:val="24"/>
          <w:szCs w:val="24"/>
        </w:rPr>
      </w:pPr>
      <w:r w:rsidRPr="2EF23444">
        <w:rPr>
          <w:color w:val="000000" w:themeColor="text1"/>
          <w:sz w:val="24"/>
          <w:szCs w:val="24"/>
        </w:rPr>
        <w:t>All academic staff are on a rota list to be selected as reviewers. When your name comes up, you will get an email request to review providing a link directly to the application. The nominal deadline to complete the review is one week, but please complete the review as promptly as possible.</w:t>
      </w:r>
    </w:p>
    <w:p w14:paraId="6492B27B" w14:textId="77777777" w:rsidR="00F70869" w:rsidRDefault="00F70869" w:rsidP="00F70869">
      <w:pPr>
        <w:rPr>
          <w:sz w:val="24"/>
          <w:szCs w:val="24"/>
        </w:rPr>
      </w:pPr>
      <w:r w:rsidRPr="2EF23444">
        <w:rPr>
          <w:color w:val="000000" w:themeColor="text1"/>
          <w:sz w:val="24"/>
          <w:szCs w:val="24"/>
        </w:rPr>
        <w:t xml:space="preserve">If you will be unavailable to review applications (e.g. for annual leave), please email </w:t>
      </w:r>
      <w:hyperlink r:id="rId6">
        <w:r w:rsidRPr="2EF23444">
          <w:rPr>
            <w:rStyle w:val="Hyperlink"/>
            <w:sz w:val="24"/>
            <w:szCs w:val="24"/>
          </w:rPr>
          <w:t>psych@abdn.ac.uk</w:t>
        </w:r>
      </w:hyperlink>
      <w:r w:rsidRPr="2EF23444">
        <w:rPr>
          <w:sz w:val="24"/>
          <w:szCs w:val="24"/>
        </w:rPr>
        <w:t xml:space="preserve"> to let them know.</w:t>
      </w:r>
    </w:p>
    <w:p w14:paraId="6AD5FD4F" w14:textId="24BFD088" w:rsidR="00F70869" w:rsidRDefault="00F70869" w:rsidP="00F70869">
      <w:pPr>
        <w:rPr>
          <w:color w:val="000000" w:themeColor="text1"/>
          <w:sz w:val="24"/>
          <w:szCs w:val="24"/>
        </w:rPr>
      </w:pPr>
      <w:r w:rsidRPr="2EF23444">
        <w:rPr>
          <w:color w:val="000000" w:themeColor="text1"/>
          <w:sz w:val="24"/>
          <w:szCs w:val="24"/>
        </w:rPr>
        <w:t xml:space="preserve">When reviewing, the first step should be to check the uploaded </w:t>
      </w:r>
      <w:r w:rsidR="00342D26">
        <w:rPr>
          <w:color w:val="000000" w:themeColor="text1"/>
          <w:sz w:val="24"/>
          <w:szCs w:val="24"/>
        </w:rPr>
        <w:t xml:space="preserve">PEC </w:t>
      </w:r>
      <w:r w:rsidRPr="2EF23444">
        <w:rPr>
          <w:color w:val="000000" w:themeColor="text1"/>
          <w:sz w:val="24"/>
          <w:szCs w:val="24"/>
        </w:rPr>
        <w:t>self-assessment form and make sure you agree with the applicant’s self-assessment of risk. If the project has been designated as low-risk and you disagree, the application should be sent back to the applica</w:t>
      </w:r>
      <w:r w:rsidR="00342D26">
        <w:rPr>
          <w:color w:val="000000" w:themeColor="text1"/>
          <w:sz w:val="24"/>
          <w:szCs w:val="24"/>
        </w:rPr>
        <w:t>n</w:t>
      </w:r>
      <w:r w:rsidRPr="2EF23444">
        <w:rPr>
          <w:color w:val="000000" w:themeColor="text1"/>
          <w:sz w:val="24"/>
          <w:szCs w:val="24"/>
        </w:rPr>
        <w:t xml:space="preserve">t </w:t>
      </w:r>
      <w:r w:rsidR="00342D26">
        <w:rPr>
          <w:color w:val="000000" w:themeColor="text1"/>
          <w:sz w:val="24"/>
          <w:szCs w:val="24"/>
        </w:rPr>
        <w:t>to be either revised or</w:t>
      </w:r>
      <w:r w:rsidRPr="2EF23444">
        <w:rPr>
          <w:color w:val="000000" w:themeColor="text1"/>
          <w:sz w:val="24"/>
          <w:szCs w:val="24"/>
        </w:rPr>
        <w:t xml:space="preserve"> resubmitted as high risk.</w:t>
      </w:r>
    </w:p>
    <w:p w14:paraId="2E63BDBB" w14:textId="355F1CAD" w:rsidR="00F70869" w:rsidRDefault="00F70869" w:rsidP="00F70869">
      <w:pPr>
        <w:rPr>
          <w:color w:val="000000" w:themeColor="text1"/>
          <w:sz w:val="24"/>
          <w:szCs w:val="24"/>
        </w:rPr>
      </w:pPr>
      <w:r w:rsidRPr="2EF23444">
        <w:rPr>
          <w:color w:val="000000" w:themeColor="text1"/>
          <w:sz w:val="24"/>
          <w:szCs w:val="24"/>
        </w:rPr>
        <w:t xml:space="preserve">If you agree with the risk assessment, read the application and all the attachments and </w:t>
      </w:r>
      <w:r w:rsidR="005A790E">
        <w:rPr>
          <w:color w:val="000000" w:themeColor="text1"/>
          <w:sz w:val="24"/>
          <w:szCs w:val="24"/>
        </w:rPr>
        <w:t>when you submit your review and the system asks for a summary</w:t>
      </w:r>
      <w:r w:rsidRPr="2EF23444">
        <w:rPr>
          <w:b/>
          <w:bCs/>
          <w:color w:val="000000" w:themeColor="text1"/>
          <w:sz w:val="24"/>
          <w:szCs w:val="24"/>
        </w:rPr>
        <w:t>,</w:t>
      </w:r>
      <w:r w:rsidRPr="2EF23444">
        <w:rPr>
          <w:color w:val="000000" w:themeColor="text1"/>
          <w:sz w:val="24"/>
          <w:szCs w:val="24"/>
        </w:rPr>
        <w:t xml:space="preserve"> state the disposition clearly as</w:t>
      </w:r>
      <w:r w:rsidR="005A790E">
        <w:rPr>
          <w:color w:val="000000" w:themeColor="text1"/>
          <w:sz w:val="24"/>
          <w:szCs w:val="24"/>
        </w:rPr>
        <w:t>:</w:t>
      </w:r>
    </w:p>
    <w:p w14:paraId="4372767D" w14:textId="02594A2E" w:rsidR="00F70869" w:rsidRDefault="00342D26" w:rsidP="00F70869">
      <w:pPr>
        <w:pStyle w:val="ListParagraph"/>
        <w:numPr>
          <w:ilvl w:val="0"/>
          <w:numId w:val="1"/>
        </w:numPr>
        <w:rPr>
          <w:color w:val="000000" w:themeColor="text1"/>
          <w:sz w:val="24"/>
          <w:szCs w:val="24"/>
        </w:rPr>
      </w:pPr>
      <w:r>
        <w:rPr>
          <w:color w:val="000000" w:themeColor="text1"/>
          <w:sz w:val="24"/>
          <w:szCs w:val="24"/>
        </w:rPr>
        <w:t>APPROVE</w:t>
      </w:r>
    </w:p>
    <w:p w14:paraId="28593104" w14:textId="03D187EC" w:rsidR="00F70869" w:rsidRDefault="00F70869" w:rsidP="00F70869">
      <w:pPr>
        <w:pStyle w:val="ListParagraph"/>
        <w:numPr>
          <w:ilvl w:val="0"/>
          <w:numId w:val="1"/>
        </w:numPr>
        <w:rPr>
          <w:color w:val="000000" w:themeColor="text1"/>
          <w:sz w:val="24"/>
          <w:szCs w:val="24"/>
        </w:rPr>
      </w:pPr>
      <w:r w:rsidRPr="0207FC64">
        <w:rPr>
          <w:color w:val="000000" w:themeColor="text1"/>
          <w:sz w:val="24"/>
          <w:szCs w:val="24"/>
        </w:rPr>
        <w:t>SEND BACK TO APPLICANT</w:t>
      </w:r>
      <w:r w:rsidR="00C20CF0">
        <w:rPr>
          <w:color w:val="000000" w:themeColor="text1"/>
          <w:sz w:val="24"/>
          <w:szCs w:val="24"/>
        </w:rPr>
        <w:t xml:space="preserve"> (Conditional)</w:t>
      </w:r>
    </w:p>
    <w:p w14:paraId="18582521" w14:textId="5288203C" w:rsidR="00C20CF0" w:rsidRDefault="00C20CF0" w:rsidP="00F70869">
      <w:pPr>
        <w:pStyle w:val="ListParagraph"/>
        <w:numPr>
          <w:ilvl w:val="0"/>
          <w:numId w:val="1"/>
        </w:numPr>
        <w:rPr>
          <w:color w:val="000000" w:themeColor="text1"/>
          <w:sz w:val="24"/>
          <w:szCs w:val="24"/>
        </w:rPr>
      </w:pPr>
      <w:r>
        <w:rPr>
          <w:color w:val="000000" w:themeColor="text1"/>
          <w:sz w:val="24"/>
          <w:szCs w:val="24"/>
        </w:rPr>
        <w:t>SEND BACK TO APPLICA</w:t>
      </w:r>
      <w:r w:rsidR="00342D26">
        <w:rPr>
          <w:color w:val="000000" w:themeColor="text1"/>
          <w:sz w:val="24"/>
          <w:szCs w:val="24"/>
        </w:rPr>
        <w:t>N</w:t>
      </w:r>
      <w:r>
        <w:rPr>
          <w:color w:val="000000" w:themeColor="text1"/>
          <w:sz w:val="24"/>
          <w:szCs w:val="24"/>
        </w:rPr>
        <w:t>T (Resubmit)</w:t>
      </w:r>
    </w:p>
    <w:p w14:paraId="00BA25FF" w14:textId="77777777" w:rsidR="00F70869" w:rsidRDefault="00F70869" w:rsidP="00F70869">
      <w:pPr>
        <w:pStyle w:val="ListParagraph"/>
        <w:numPr>
          <w:ilvl w:val="0"/>
          <w:numId w:val="1"/>
        </w:numPr>
        <w:rPr>
          <w:color w:val="000000" w:themeColor="text1"/>
          <w:sz w:val="24"/>
          <w:szCs w:val="24"/>
        </w:rPr>
      </w:pPr>
      <w:r w:rsidRPr="0207FC64">
        <w:rPr>
          <w:color w:val="000000" w:themeColor="text1"/>
          <w:sz w:val="24"/>
          <w:szCs w:val="24"/>
        </w:rPr>
        <w:t>REJECT</w:t>
      </w:r>
    </w:p>
    <w:p w14:paraId="00505C51" w14:textId="77777777" w:rsidR="00F70869" w:rsidRDefault="00F70869" w:rsidP="00F70869">
      <w:pPr>
        <w:rPr>
          <w:sz w:val="24"/>
          <w:szCs w:val="24"/>
        </w:rPr>
      </w:pPr>
      <w:r w:rsidRPr="2EF23444">
        <w:rPr>
          <w:sz w:val="24"/>
          <w:szCs w:val="24"/>
        </w:rPr>
        <w:t>And add comments here to justify your decision. You can also add comments throughout the proposal by clicking on the little speech bubbles, but please use the review comments field for the main concerns. Be aware that the office staff will send the application back to you for clarification if the disposition is not clearly stated.</w:t>
      </w:r>
    </w:p>
    <w:p w14:paraId="25F23724" w14:textId="06EF2CA0" w:rsidR="00F70869" w:rsidRDefault="00342D26" w:rsidP="00545DF1">
      <w:pPr>
        <w:rPr>
          <w:sz w:val="24"/>
          <w:szCs w:val="24"/>
        </w:rPr>
      </w:pPr>
      <w:r w:rsidRPr="00342D26">
        <w:rPr>
          <w:sz w:val="24"/>
          <w:szCs w:val="24"/>
        </w:rPr>
        <w:t>For consistency</w:t>
      </w:r>
      <w:r w:rsidR="00CE46F8" w:rsidRPr="00CE46F8">
        <w:rPr>
          <w:sz w:val="24"/>
          <w:szCs w:val="24"/>
        </w:rPr>
        <w:t xml:space="preserve"> with our current ethical review process, there are two different "SEND BACK TO APPLICANT" outcomes: "SEND BACK TO APPLICANT (Conditional)" and "SEND BACK TO APPLICANT" (Resubmit)</w:t>
      </w:r>
      <w:r w:rsidR="00CE46F8">
        <w:rPr>
          <w:sz w:val="24"/>
          <w:szCs w:val="24"/>
        </w:rPr>
        <w:t xml:space="preserve">. With the </w:t>
      </w:r>
      <w:r w:rsidR="00CE46F8" w:rsidRPr="00CE46F8">
        <w:rPr>
          <w:sz w:val="24"/>
          <w:szCs w:val="24"/>
        </w:rPr>
        <w:t>SEND BACK TO APPLICANT (Conditional)</w:t>
      </w:r>
      <w:r w:rsidR="00545DF1">
        <w:rPr>
          <w:sz w:val="24"/>
          <w:szCs w:val="24"/>
        </w:rPr>
        <w:t xml:space="preserve"> outcome</w:t>
      </w:r>
      <w:r w:rsidR="00CE46F8">
        <w:rPr>
          <w:sz w:val="24"/>
          <w:szCs w:val="24"/>
        </w:rPr>
        <w:t xml:space="preserve">, a revised application will be approved by the office staff once it has been </w:t>
      </w:r>
      <w:r w:rsidR="00545DF1">
        <w:rPr>
          <w:sz w:val="24"/>
          <w:szCs w:val="24"/>
        </w:rPr>
        <w:t>re-submitted</w:t>
      </w:r>
      <w:r w:rsidR="00CE46F8">
        <w:rPr>
          <w:sz w:val="24"/>
          <w:szCs w:val="24"/>
        </w:rPr>
        <w:t xml:space="preserve">. </w:t>
      </w:r>
      <w:r w:rsidR="00CE46F8" w:rsidRPr="00CE46F8">
        <w:rPr>
          <w:sz w:val="24"/>
          <w:szCs w:val="24"/>
        </w:rPr>
        <w:t>We operate a trust system for</w:t>
      </w:r>
      <w:r w:rsidR="00CE46F8">
        <w:rPr>
          <w:sz w:val="24"/>
          <w:szCs w:val="24"/>
        </w:rPr>
        <w:t xml:space="preserve"> the</w:t>
      </w:r>
      <w:r w:rsidR="00CE46F8" w:rsidRPr="00CE46F8">
        <w:rPr>
          <w:sz w:val="24"/>
          <w:szCs w:val="24"/>
        </w:rPr>
        <w:t xml:space="preserve"> conditional review (although the Chair or </w:t>
      </w:r>
      <w:r w:rsidR="00CE46F8">
        <w:rPr>
          <w:sz w:val="24"/>
          <w:szCs w:val="24"/>
        </w:rPr>
        <w:t>triage</w:t>
      </w:r>
      <w:r w:rsidR="00CE46F8" w:rsidRPr="00CE46F8">
        <w:rPr>
          <w:sz w:val="24"/>
          <w:szCs w:val="24"/>
        </w:rPr>
        <w:t xml:space="preserve"> members can check on </w:t>
      </w:r>
      <w:r w:rsidR="00CE46F8">
        <w:rPr>
          <w:sz w:val="24"/>
          <w:szCs w:val="24"/>
        </w:rPr>
        <w:t>the resubmission</w:t>
      </w:r>
      <w:r w:rsidR="00CE46F8" w:rsidRPr="00CE46F8">
        <w:rPr>
          <w:sz w:val="24"/>
          <w:szCs w:val="24"/>
        </w:rPr>
        <w:t xml:space="preserve">). </w:t>
      </w:r>
      <w:r w:rsidR="00545DF1">
        <w:rPr>
          <w:sz w:val="24"/>
          <w:szCs w:val="24"/>
        </w:rPr>
        <w:t>With th</w:t>
      </w:r>
      <w:r w:rsidR="00CE46F8">
        <w:rPr>
          <w:sz w:val="24"/>
          <w:szCs w:val="24"/>
        </w:rPr>
        <w:t xml:space="preserve">e </w:t>
      </w:r>
      <w:r w:rsidR="00CE46F8" w:rsidRPr="00CE46F8">
        <w:rPr>
          <w:sz w:val="24"/>
          <w:szCs w:val="24"/>
        </w:rPr>
        <w:t>SEND BACK TO APPLICANT (</w:t>
      </w:r>
      <w:r w:rsidR="00CE46F8">
        <w:rPr>
          <w:sz w:val="24"/>
          <w:szCs w:val="24"/>
        </w:rPr>
        <w:t xml:space="preserve">Resubmit) </w:t>
      </w:r>
      <w:r w:rsidR="00545DF1">
        <w:rPr>
          <w:sz w:val="24"/>
          <w:szCs w:val="24"/>
        </w:rPr>
        <w:t>outcome, a revised application will go to the same reviewers.</w:t>
      </w:r>
    </w:p>
    <w:p w14:paraId="583A2964" w14:textId="77777777" w:rsidR="00F70869" w:rsidRDefault="00F70869" w:rsidP="00F70869">
      <w:pPr>
        <w:rPr>
          <w:sz w:val="24"/>
          <w:szCs w:val="24"/>
        </w:rPr>
      </w:pPr>
      <w:r w:rsidRPr="2EF23444">
        <w:rPr>
          <w:sz w:val="24"/>
          <w:szCs w:val="24"/>
        </w:rPr>
        <w:t xml:space="preserve">The “REJECT” category means the application is irredeemably unethical, even with revisions. Once an application is rejected, it can no longer be edited, revised, or amended. </w:t>
      </w:r>
    </w:p>
    <w:p w14:paraId="4A34271B" w14:textId="1CDBEFEB" w:rsidR="00BF3033" w:rsidRPr="005A790E" w:rsidRDefault="00F70869">
      <w:pPr>
        <w:rPr>
          <w:sz w:val="24"/>
          <w:szCs w:val="24"/>
        </w:rPr>
      </w:pPr>
      <w:r w:rsidRPr="2EF23444">
        <w:rPr>
          <w:sz w:val="24"/>
          <w:szCs w:val="24"/>
        </w:rPr>
        <w:t>From the reviewer’s perspective the process for low and high risk applications is the same. For high-risk applications there will be five reviewers submitting comments instead of one, and the head of ethics will read and summarise the comments for the applicant.</w:t>
      </w:r>
    </w:p>
    <w:sectPr w:rsidR="00BF3033" w:rsidRPr="005A790E" w:rsidSect="004E04FC">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7BF47"/>
    <w:multiLevelType w:val="hybridMultilevel"/>
    <w:tmpl w:val="3BB04ED8"/>
    <w:lvl w:ilvl="0" w:tplc="34527ED2">
      <w:start w:val="1"/>
      <w:numFmt w:val="bullet"/>
      <w:lvlText w:val=""/>
      <w:lvlJc w:val="left"/>
      <w:pPr>
        <w:ind w:left="720" w:hanging="360"/>
      </w:pPr>
      <w:rPr>
        <w:rFonts w:ascii="Symbol" w:hAnsi="Symbol" w:hint="default"/>
      </w:rPr>
    </w:lvl>
    <w:lvl w:ilvl="1" w:tplc="A3486B34">
      <w:start w:val="1"/>
      <w:numFmt w:val="bullet"/>
      <w:lvlText w:val="o"/>
      <w:lvlJc w:val="left"/>
      <w:pPr>
        <w:ind w:left="1440" w:hanging="360"/>
      </w:pPr>
      <w:rPr>
        <w:rFonts w:ascii="Courier New" w:hAnsi="Courier New" w:hint="default"/>
      </w:rPr>
    </w:lvl>
    <w:lvl w:ilvl="2" w:tplc="1B18C55C">
      <w:start w:val="1"/>
      <w:numFmt w:val="bullet"/>
      <w:lvlText w:val=""/>
      <w:lvlJc w:val="left"/>
      <w:pPr>
        <w:ind w:left="2160" w:hanging="360"/>
      </w:pPr>
      <w:rPr>
        <w:rFonts w:ascii="Wingdings" w:hAnsi="Wingdings" w:hint="default"/>
      </w:rPr>
    </w:lvl>
    <w:lvl w:ilvl="3" w:tplc="E2824878">
      <w:start w:val="1"/>
      <w:numFmt w:val="bullet"/>
      <w:lvlText w:val=""/>
      <w:lvlJc w:val="left"/>
      <w:pPr>
        <w:ind w:left="2880" w:hanging="360"/>
      </w:pPr>
      <w:rPr>
        <w:rFonts w:ascii="Symbol" w:hAnsi="Symbol" w:hint="default"/>
      </w:rPr>
    </w:lvl>
    <w:lvl w:ilvl="4" w:tplc="7C704182">
      <w:start w:val="1"/>
      <w:numFmt w:val="bullet"/>
      <w:lvlText w:val="o"/>
      <w:lvlJc w:val="left"/>
      <w:pPr>
        <w:ind w:left="3600" w:hanging="360"/>
      </w:pPr>
      <w:rPr>
        <w:rFonts w:ascii="Courier New" w:hAnsi="Courier New" w:hint="default"/>
      </w:rPr>
    </w:lvl>
    <w:lvl w:ilvl="5" w:tplc="91E44EE4">
      <w:start w:val="1"/>
      <w:numFmt w:val="bullet"/>
      <w:lvlText w:val=""/>
      <w:lvlJc w:val="left"/>
      <w:pPr>
        <w:ind w:left="4320" w:hanging="360"/>
      </w:pPr>
      <w:rPr>
        <w:rFonts w:ascii="Wingdings" w:hAnsi="Wingdings" w:hint="default"/>
      </w:rPr>
    </w:lvl>
    <w:lvl w:ilvl="6" w:tplc="DCD20C44">
      <w:start w:val="1"/>
      <w:numFmt w:val="bullet"/>
      <w:lvlText w:val=""/>
      <w:lvlJc w:val="left"/>
      <w:pPr>
        <w:ind w:left="5040" w:hanging="360"/>
      </w:pPr>
      <w:rPr>
        <w:rFonts w:ascii="Symbol" w:hAnsi="Symbol" w:hint="default"/>
      </w:rPr>
    </w:lvl>
    <w:lvl w:ilvl="7" w:tplc="E7265DFE">
      <w:start w:val="1"/>
      <w:numFmt w:val="bullet"/>
      <w:lvlText w:val="o"/>
      <w:lvlJc w:val="left"/>
      <w:pPr>
        <w:ind w:left="5760" w:hanging="360"/>
      </w:pPr>
      <w:rPr>
        <w:rFonts w:ascii="Courier New" w:hAnsi="Courier New" w:hint="default"/>
      </w:rPr>
    </w:lvl>
    <w:lvl w:ilvl="8" w:tplc="67E2E6FA">
      <w:start w:val="1"/>
      <w:numFmt w:val="bullet"/>
      <w:lvlText w:val=""/>
      <w:lvlJc w:val="left"/>
      <w:pPr>
        <w:ind w:left="6480" w:hanging="360"/>
      </w:pPr>
      <w:rPr>
        <w:rFonts w:ascii="Wingdings" w:hAnsi="Wingdings" w:hint="default"/>
      </w:rPr>
    </w:lvl>
  </w:abstractNum>
  <w:num w:numId="1" w16cid:durableId="172753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bordersDoNotSurroundHeader/>
  <w:bordersDoNotSurroundFooter/>
  <w:proofState w:spelling="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69"/>
    <w:rsid w:val="000D1A6B"/>
    <w:rsid w:val="002064FB"/>
    <w:rsid w:val="00237D66"/>
    <w:rsid w:val="002A5D23"/>
    <w:rsid w:val="00307B3A"/>
    <w:rsid w:val="00342D26"/>
    <w:rsid w:val="003A711D"/>
    <w:rsid w:val="004E04FC"/>
    <w:rsid w:val="004E417F"/>
    <w:rsid w:val="00545DF1"/>
    <w:rsid w:val="005A790E"/>
    <w:rsid w:val="0060251D"/>
    <w:rsid w:val="006144F1"/>
    <w:rsid w:val="006C07B5"/>
    <w:rsid w:val="006C5812"/>
    <w:rsid w:val="00AB0D72"/>
    <w:rsid w:val="00BE0335"/>
    <w:rsid w:val="00BF3033"/>
    <w:rsid w:val="00C20CF0"/>
    <w:rsid w:val="00C32E2D"/>
    <w:rsid w:val="00CE46F8"/>
    <w:rsid w:val="00D76AD1"/>
    <w:rsid w:val="00DA7C69"/>
    <w:rsid w:val="00F25614"/>
    <w:rsid w:val="00F708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29EC"/>
  <w15:chartTrackingRefBased/>
  <w15:docId w15:val="{B5C5A481-A6F9-BF41-BF9F-4F28F552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86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869"/>
    <w:pPr>
      <w:ind w:left="720"/>
      <w:contextualSpacing/>
    </w:pPr>
  </w:style>
  <w:style w:type="character" w:styleId="Hyperlink">
    <w:name w:val="Hyperlink"/>
    <w:basedOn w:val="DefaultParagraphFont"/>
    <w:uiPriority w:val="99"/>
    <w:unhideWhenUsed/>
    <w:rsid w:val="00F70869"/>
    <w:rPr>
      <w:color w:val="0563C1" w:themeColor="hyperlink"/>
      <w:u w:val="single"/>
    </w:rPr>
  </w:style>
  <w:style w:type="paragraph" w:styleId="Revision">
    <w:name w:val="Revision"/>
    <w:hidden/>
    <w:uiPriority w:val="99"/>
    <w:semiHidden/>
    <w:rsid w:val="00C20CF0"/>
    <w:rPr>
      <w:sz w:val="22"/>
      <w:szCs w:val="22"/>
    </w:rPr>
  </w:style>
  <w:style w:type="character" w:customStyle="1" w:styleId="normaltextrun">
    <w:name w:val="normaltextrun"/>
    <w:basedOn w:val="DefaultParagraphFont"/>
    <w:rsid w:val="00F25614"/>
  </w:style>
  <w:style w:type="character" w:customStyle="1" w:styleId="eop">
    <w:name w:val="eop"/>
    <w:basedOn w:val="DefaultParagraphFont"/>
    <w:rsid w:val="00545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ych@abdn.ac.uk"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FF29F01167E24BB7AABE3F78F305A3" ma:contentTypeVersion="8" ma:contentTypeDescription="Create a new document." ma:contentTypeScope="" ma:versionID="bd875b47695f1588e9f2ee803485a0ec">
  <xsd:schema xmlns:xsd="http://www.w3.org/2001/XMLSchema" xmlns:xs="http://www.w3.org/2001/XMLSchema" xmlns:p="http://schemas.microsoft.com/office/2006/metadata/properties" xmlns:ns2="b7e4bf96-8c57-4df4-853d-d6f1e6a7fcba" xmlns:ns3="6d9660c7-921b-4b6f-b67f-91a668d643f6" targetNamespace="http://schemas.microsoft.com/office/2006/metadata/properties" ma:root="true" ma:fieldsID="03a489aed35be42ad45fa90b73165293" ns2:_="" ns3:_="">
    <xsd:import namespace="b7e4bf96-8c57-4df4-853d-d6f1e6a7fcba"/>
    <xsd:import namespace="6d9660c7-921b-4b6f-b67f-91a668d64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4bf96-8c57-4df4-853d-d6f1e6a7f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9660c7-921b-4b6f-b67f-91a668d643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9660c7-921b-4b6f-b67f-91a668d643f6">
      <UserInfo>
        <DisplayName>Dale, Stacey</DisplayName>
        <AccountId>230</AccountId>
        <AccountType/>
      </UserInfo>
    </SharedWithUsers>
  </documentManagement>
</p:properties>
</file>

<file path=customXml/itemProps1.xml><?xml version="1.0" encoding="utf-8"?>
<ds:datastoreItem xmlns:ds="http://schemas.openxmlformats.org/officeDocument/2006/customXml" ds:itemID="{5190C459-0FB3-4D78-958F-E72ED90CDE70}">
  <ds:schemaRefs>
    <ds:schemaRef ds:uri="http://schemas.openxmlformats.org/officeDocument/2006/bibliography"/>
  </ds:schemaRefs>
</ds:datastoreItem>
</file>

<file path=customXml/itemProps2.xml><?xml version="1.0" encoding="utf-8"?>
<ds:datastoreItem xmlns:ds="http://schemas.openxmlformats.org/officeDocument/2006/customXml" ds:itemID="{23E976AC-9C45-4FA1-8914-4099B3BDA99F}"/>
</file>

<file path=customXml/itemProps3.xml><?xml version="1.0" encoding="utf-8"?>
<ds:datastoreItem xmlns:ds="http://schemas.openxmlformats.org/officeDocument/2006/customXml" ds:itemID="{8B147919-49BD-4A28-9DAC-EAA3DD7E97ED}"/>
</file>

<file path=customXml/itemProps4.xml><?xml version="1.0" encoding="utf-8"?>
<ds:datastoreItem xmlns:ds="http://schemas.openxmlformats.org/officeDocument/2006/customXml" ds:itemID="{E898DDF6-0A1E-4C4E-891A-74BAF7B9EACB}"/>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Amelia</dc:creator>
  <cp:keywords/>
  <dc:description/>
  <cp:lastModifiedBy>Hunt, Amelia</cp:lastModifiedBy>
  <cp:revision>3</cp:revision>
  <dcterms:created xsi:type="dcterms:W3CDTF">2023-03-17T11:18:00Z</dcterms:created>
  <dcterms:modified xsi:type="dcterms:W3CDTF">2023-03-17T11:56:00Z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0x0101007FFF29F01167E24BB7AABE3F78F305A3</vt:lpwstr>
  </property>
</Properties>
</file>