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54C0" w14:textId="77777777" w:rsidR="00F43197" w:rsidRDefault="00F43197" w:rsidP="00F43197">
      <w:pPr>
        <w:spacing w:after="0" w:line="360" w:lineRule="auto"/>
        <w:jc w:val="center"/>
        <w:rPr>
          <w:rFonts w:ascii="Times New Roman" w:hAnsi="Times New Roman" w:cs="Times New Roman"/>
          <w:smallCaps/>
          <w:sz w:val="24"/>
          <w:szCs w:val="24"/>
        </w:rPr>
      </w:pPr>
      <w:bookmarkStart w:id="0" w:name="_GoBack"/>
      <w:bookmarkEnd w:id="0"/>
      <w:r>
        <w:rPr>
          <w:rFonts w:ascii="Times New Roman" w:hAnsi="Times New Roman" w:cs="Times New Roman"/>
          <w:smallCaps/>
          <w:sz w:val="24"/>
          <w:szCs w:val="24"/>
        </w:rPr>
        <w:t>Unjustified Enrichment evolving in Mixed Legal Systems</w:t>
      </w:r>
    </w:p>
    <w:p w14:paraId="52C537BE" w14:textId="77777777" w:rsidR="00F43197" w:rsidRPr="00EC2B6B" w:rsidRDefault="00F43197" w:rsidP="00F43197">
      <w:pPr>
        <w:spacing w:after="0" w:line="360" w:lineRule="auto"/>
        <w:jc w:val="center"/>
        <w:rPr>
          <w:rFonts w:ascii="Times New Roman" w:hAnsi="Times New Roman" w:cs="Times New Roman"/>
          <w:smallCaps/>
          <w:sz w:val="24"/>
          <w:szCs w:val="24"/>
        </w:rPr>
      </w:pPr>
      <w:r>
        <w:rPr>
          <w:rFonts w:ascii="Times New Roman" w:hAnsi="Times New Roman" w:cs="Times New Roman"/>
          <w:smallCaps/>
          <w:sz w:val="24"/>
          <w:szCs w:val="24"/>
        </w:rPr>
        <w:t xml:space="preserve">Confronting </w:t>
      </w:r>
      <w:r w:rsidRPr="00EC2B6B">
        <w:rPr>
          <w:rFonts w:ascii="Times New Roman" w:hAnsi="Times New Roman" w:cs="Times New Roman"/>
          <w:smallCaps/>
          <w:sz w:val="24"/>
          <w:szCs w:val="24"/>
        </w:rPr>
        <w:t xml:space="preserve">the </w:t>
      </w:r>
      <w:r>
        <w:rPr>
          <w:rFonts w:ascii="Times New Roman" w:hAnsi="Times New Roman" w:cs="Times New Roman"/>
          <w:smallCaps/>
          <w:sz w:val="24"/>
          <w:szCs w:val="24"/>
        </w:rPr>
        <w:t xml:space="preserve">South African </w:t>
      </w:r>
      <w:r w:rsidRPr="00EC2B6B">
        <w:rPr>
          <w:rFonts w:ascii="Times New Roman" w:hAnsi="Times New Roman" w:cs="Times New Roman"/>
          <w:smallCaps/>
          <w:sz w:val="24"/>
          <w:szCs w:val="24"/>
        </w:rPr>
        <w:t>Supreme Court of Appeal</w:t>
      </w:r>
    </w:p>
    <w:p w14:paraId="72F866BC" w14:textId="77777777" w:rsidR="00F43197" w:rsidRDefault="00F43197" w:rsidP="00F43197">
      <w:pPr>
        <w:spacing w:after="0" w:line="360" w:lineRule="auto"/>
        <w:jc w:val="center"/>
        <w:rPr>
          <w:rFonts w:ascii="Times New Roman" w:hAnsi="Times New Roman" w:cs="Times New Roman"/>
          <w:smallCaps/>
          <w:sz w:val="24"/>
          <w:szCs w:val="24"/>
        </w:rPr>
      </w:pPr>
      <w:r w:rsidRPr="00EC2B6B">
        <w:rPr>
          <w:rFonts w:ascii="Times New Roman" w:hAnsi="Times New Roman" w:cs="Times New Roman"/>
          <w:i/>
          <w:smallCaps/>
          <w:sz w:val="24"/>
          <w:szCs w:val="24"/>
        </w:rPr>
        <w:t>McCarthy Retail Ltd Shortdistance Carriers CC</w:t>
      </w:r>
      <w:r w:rsidRPr="00EC2B6B">
        <w:rPr>
          <w:rFonts w:ascii="Times New Roman" w:hAnsi="Times New Roman" w:cs="Times New Roman"/>
          <w:smallCaps/>
          <w:sz w:val="24"/>
          <w:szCs w:val="24"/>
        </w:rPr>
        <w:t xml:space="preserve"> 2001 (3) SA 482 SCA</w:t>
      </w:r>
    </w:p>
    <w:p w14:paraId="3E8A3E05" w14:textId="77777777" w:rsidR="00F43197" w:rsidRPr="00EC2B6B" w:rsidRDefault="00F43197" w:rsidP="00F43197">
      <w:pPr>
        <w:spacing w:after="0" w:line="360" w:lineRule="auto"/>
        <w:jc w:val="center"/>
        <w:rPr>
          <w:rFonts w:ascii="Times New Roman" w:hAnsi="Times New Roman" w:cs="Times New Roman"/>
          <w:sz w:val="24"/>
          <w:szCs w:val="24"/>
        </w:rPr>
      </w:pPr>
      <w:r w:rsidRPr="00EC2B6B">
        <w:rPr>
          <w:rFonts w:ascii="Times New Roman" w:hAnsi="Times New Roman" w:cs="Times New Roman"/>
          <w:sz w:val="24"/>
          <w:szCs w:val="24"/>
        </w:rPr>
        <w:t>by</w:t>
      </w:r>
    </w:p>
    <w:p w14:paraId="587A2C3E" w14:textId="77777777" w:rsidR="00F43197" w:rsidRDefault="00F43197" w:rsidP="00F431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Robin Evans-Jones (P</w:t>
      </w:r>
      <w:r w:rsidRPr="00EC2B6B">
        <w:rPr>
          <w:rFonts w:ascii="Times New Roman" w:hAnsi="Times New Roman" w:cs="Times New Roman"/>
          <w:sz w:val="24"/>
          <w:szCs w:val="24"/>
        </w:rPr>
        <w:t>rofessor of Jurisprudence, University of Aberdeen)</w:t>
      </w:r>
    </w:p>
    <w:p w14:paraId="62002BF9" w14:textId="3BA3ED69" w:rsidR="00F43197" w:rsidRPr="00EC2B6B" w:rsidRDefault="00F43197" w:rsidP="00F431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Martin Fischer (PhD Candidate, University College London)</w:t>
      </w:r>
    </w:p>
    <w:p w14:paraId="3F96225A" w14:textId="77777777" w:rsidR="00F43197" w:rsidRDefault="00F43197" w:rsidP="00F43197">
      <w:pPr>
        <w:spacing w:after="0" w:line="360" w:lineRule="auto"/>
        <w:jc w:val="both"/>
        <w:rPr>
          <w:rFonts w:ascii="Times New Roman" w:hAnsi="Times New Roman" w:cs="Times New Roman"/>
          <w:i/>
          <w:sz w:val="24"/>
          <w:szCs w:val="24"/>
        </w:rPr>
      </w:pPr>
    </w:p>
    <w:p w14:paraId="011763A9" w14:textId="303927ED" w:rsidR="00F43197" w:rsidRDefault="00F43197" w:rsidP="00F43197">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Introduction</w:t>
      </w:r>
    </w:p>
    <w:p w14:paraId="5007BADC" w14:textId="1F79B5BD" w:rsidR="00A13DF9" w:rsidRPr="00A13DF9" w:rsidRDefault="0084102E" w:rsidP="008F0863">
      <w:pPr>
        <w:spacing w:after="0" w:line="360" w:lineRule="auto"/>
        <w:jc w:val="both"/>
        <w:rPr>
          <w:rFonts w:ascii="Times New Roman" w:hAnsi="Times New Roman" w:cs="Times New Roman"/>
          <w:sz w:val="24"/>
          <w:szCs w:val="24"/>
        </w:rPr>
      </w:pPr>
      <w:r>
        <w:rPr>
          <w:rFonts w:ascii="Times New Roman" w:hAnsi="Times New Roman" w:cs="Times New Roman"/>
          <w:caps/>
          <w:sz w:val="24"/>
          <w:szCs w:val="24"/>
        </w:rPr>
        <w:t>S</w:t>
      </w:r>
      <w:r>
        <w:rPr>
          <w:rFonts w:ascii="Times New Roman" w:hAnsi="Times New Roman" w:cs="Times New Roman"/>
          <w:sz w:val="24"/>
          <w:szCs w:val="24"/>
        </w:rPr>
        <w:t xml:space="preserve">cotland in the last </w:t>
      </w:r>
      <w:r w:rsidR="008D73E0">
        <w:rPr>
          <w:rFonts w:ascii="Times New Roman" w:hAnsi="Times New Roman" w:cs="Times New Roman"/>
          <w:sz w:val="24"/>
          <w:szCs w:val="24"/>
        </w:rPr>
        <w:t>twenty</w:t>
      </w:r>
      <w:r>
        <w:rPr>
          <w:rFonts w:ascii="Times New Roman" w:hAnsi="Times New Roman" w:cs="Times New Roman"/>
          <w:sz w:val="24"/>
          <w:szCs w:val="24"/>
        </w:rPr>
        <w:t xml:space="preserve"> years </w:t>
      </w:r>
      <w:r w:rsidR="00EC12DA">
        <w:rPr>
          <w:rFonts w:ascii="Times New Roman" w:hAnsi="Times New Roman" w:cs="Times New Roman"/>
          <w:sz w:val="24"/>
          <w:szCs w:val="24"/>
        </w:rPr>
        <w:t xml:space="preserve">has </w:t>
      </w:r>
      <w:r>
        <w:rPr>
          <w:rFonts w:ascii="Times New Roman" w:hAnsi="Times New Roman" w:cs="Times New Roman"/>
          <w:sz w:val="24"/>
          <w:szCs w:val="24"/>
        </w:rPr>
        <w:t>taken major steps</w:t>
      </w:r>
      <w:r w:rsidR="006D3EA1">
        <w:rPr>
          <w:rFonts w:ascii="Times New Roman" w:hAnsi="Times New Roman" w:cs="Times New Roman"/>
          <w:sz w:val="24"/>
          <w:szCs w:val="24"/>
        </w:rPr>
        <w:t xml:space="preserve"> </w:t>
      </w:r>
      <w:r w:rsidR="005B3BDD">
        <w:rPr>
          <w:rFonts w:ascii="Times New Roman" w:hAnsi="Times New Roman" w:cs="Times New Roman"/>
          <w:sz w:val="24"/>
          <w:szCs w:val="24"/>
        </w:rPr>
        <w:t xml:space="preserve">forward </w:t>
      </w:r>
      <w:r>
        <w:rPr>
          <w:rFonts w:ascii="Times New Roman" w:hAnsi="Times New Roman" w:cs="Times New Roman"/>
          <w:sz w:val="24"/>
          <w:szCs w:val="24"/>
        </w:rPr>
        <w:t xml:space="preserve">in the </w:t>
      </w:r>
      <w:r w:rsidR="00393C6A">
        <w:rPr>
          <w:rFonts w:ascii="Times New Roman" w:hAnsi="Times New Roman" w:cs="Times New Roman"/>
          <w:sz w:val="24"/>
          <w:szCs w:val="24"/>
        </w:rPr>
        <w:t xml:space="preserve">recognition and </w:t>
      </w:r>
      <w:r>
        <w:rPr>
          <w:rFonts w:ascii="Times New Roman" w:hAnsi="Times New Roman" w:cs="Times New Roman"/>
          <w:sz w:val="24"/>
          <w:szCs w:val="24"/>
        </w:rPr>
        <w:t>development of the law of unjustified enrichment. The</w:t>
      </w:r>
      <w:r w:rsidR="00393C6A">
        <w:rPr>
          <w:rFonts w:ascii="Times New Roman" w:hAnsi="Times New Roman" w:cs="Times New Roman"/>
          <w:sz w:val="24"/>
          <w:szCs w:val="24"/>
        </w:rPr>
        <w:t xml:space="preserve"> </w:t>
      </w:r>
      <w:r w:rsidR="00CE10ED">
        <w:rPr>
          <w:rFonts w:ascii="Times New Roman" w:hAnsi="Times New Roman" w:cs="Times New Roman"/>
          <w:sz w:val="24"/>
          <w:szCs w:val="24"/>
        </w:rPr>
        <w:t xml:space="preserve">developments </w:t>
      </w:r>
      <w:r>
        <w:rPr>
          <w:rFonts w:ascii="Times New Roman" w:hAnsi="Times New Roman" w:cs="Times New Roman"/>
          <w:sz w:val="24"/>
          <w:szCs w:val="24"/>
        </w:rPr>
        <w:t>have been called a “</w:t>
      </w:r>
      <w:r w:rsidRPr="005A03E9">
        <w:rPr>
          <w:rFonts w:ascii="Times New Roman" w:hAnsi="Times New Roman" w:cs="Times New Roman"/>
          <w:sz w:val="24"/>
          <w:szCs w:val="24"/>
        </w:rPr>
        <w:t>revolution</w:t>
      </w:r>
      <w:r w:rsidR="00D71C51">
        <w:rPr>
          <w:rFonts w:ascii="Times New Roman" w:hAnsi="Times New Roman" w:cs="Times New Roman"/>
          <w:sz w:val="24"/>
          <w:szCs w:val="24"/>
        </w:rPr>
        <w:t>”</w:t>
      </w:r>
      <w:r w:rsidR="008267E4">
        <w:rPr>
          <w:rFonts w:ascii="Times New Roman" w:hAnsi="Times New Roman" w:cs="Times New Roman"/>
          <w:sz w:val="24"/>
          <w:szCs w:val="24"/>
        </w:rPr>
        <w:t>.</w:t>
      </w:r>
      <w:bookmarkStart w:id="1" w:name="_Ref525824581"/>
      <w:r w:rsidR="00F43197">
        <w:rPr>
          <w:rStyle w:val="FootnoteReference"/>
          <w:rFonts w:ascii="Times New Roman" w:hAnsi="Times New Roman" w:cs="Times New Roman"/>
          <w:sz w:val="24"/>
          <w:szCs w:val="24"/>
        </w:rPr>
        <w:footnoteReference w:id="2"/>
      </w:r>
      <w:bookmarkEnd w:id="1"/>
      <w:r w:rsidR="008267E4">
        <w:rPr>
          <w:rFonts w:ascii="Times New Roman" w:hAnsi="Times New Roman" w:cs="Times New Roman"/>
          <w:sz w:val="24"/>
          <w:szCs w:val="24"/>
        </w:rPr>
        <w:t xml:space="preserve"> The “revolution” </w:t>
      </w:r>
      <w:r w:rsidR="005A03E9">
        <w:rPr>
          <w:rFonts w:ascii="Times New Roman" w:hAnsi="Times New Roman" w:cs="Times New Roman"/>
          <w:sz w:val="24"/>
          <w:szCs w:val="24"/>
        </w:rPr>
        <w:t>is</w:t>
      </w:r>
      <w:r w:rsidR="00393C6A">
        <w:rPr>
          <w:rFonts w:ascii="Times New Roman" w:hAnsi="Times New Roman" w:cs="Times New Roman"/>
          <w:sz w:val="24"/>
          <w:szCs w:val="24"/>
        </w:rPr>
        <w:t xml:space="preserve"> </w:t>
      </w:r>
      <w:r w:rsidR="00393C6A" w:rsidRPr="00393C6A">
        <w:rPr>
          <w:rFonts w:ascii="Times New Roman" w:hAnsi="Times New Roman" w:cs="Times New Roman"/>
          <w:sz w:val="24"/>
          <w:szCs w:val="24"/>
        </w:rPr>
        <w:t xml:space="preserve">attributed to the </w:t>
      </w:r>
      <w:r w:rsidR="00393C6A">
        <w:rPr>
          <w:rFonts w:ascii="Times New Roman" w:hAnsi="Times New Roman" w:cs="Times New Roman"/>
          <w:sz w:val="24"/>
          <w:szCs w:val="24"/>
        </w:rPr>
        <w:t xml:space="preserve">judiciary because its </w:t>
      </w:r>
      <w:r w:rsidR="001575FD">
        <w:rPr>
          <w:rFonts w:ascii="Times New Roman" w:hAnsi="Times New Roman" w:cs="Times New Roman"/>
          <w:sz w:val="24"/>
          <w:szCs w:val="24"/>
        </w:rPr>
        <w:t xml:space="preserve">clearest </w:t>
      </w:r>
      <w:r w:rsidR="00393C6A">
        <w:rPr>
          <w:rFonts w:ascii="Times New Roman" w:hAnsi="Times New Roman" w:cs="Times New Roman"/>
          <w:sz w:val="24"/>
          <w:szCs w:val="24"/>
        </w:rPr>
        <w:t>expression</w:t>
      </w:r>
      <w:r w:rsidR="00804B98">
        <w:rPr>
          <w:rFonts w:ascii="Times New Roman" w:hAnsi="Times New Roman" w:cs="Times New Roman"/>
          <w:sz w:val="24"/>
          <w:szCs w:val="24"/>
        </w:rPr>
        <w:t xml:space="preserve"> </w:t>
      </w:r>
      <w:r w:rsidR="001E2D2C">
        <w:rPr>
          <w:rFonts w:ascii="Times New Roman" w:hAnsi="Times New Roman" w:cs="Times New Roman"/>
          <w:sz w:val="24"/>
          <w:szCs w:val="24"/>
        </w:rPr>
        <w:t xml:space="preserve">is </w:t>
      </w:r>
      <w:r w:rsidR="00804B98">
        <w:rPr>
          <w:rFonts w:ascii="Times New Roman" w:hAnsi="Times New Roman" w:cs="Times New Roman"/>
          <w:sz w:val="24"/>
          <w:szCs w:val="24"/>
        </w:rPr>
        <w:t xml:space="preserve">in </w:t>
      </w:r>
      <w:r w:rsidR="00CE10ED" w:rsidRPr="00CE10ED">
        <w:rPr>
          <w:rFonts w:ascii="Times New Roman" w:hAnsi="Times New Roman" w:cs="Times New Roman"/>
          <w:sz w:val="24"/>
          <w:szCs w:val="24"/>
        </w:rPr>
        <w:t xml:space="preserve">three leading </w:t>
      </w:r>
      <w:r w:rsidR="00804B98">
        <w:rPr>
          <w:rFonts w:ascii="Times New Roman" w:hAnsi="Times New Roman" w:cs="Times New Roman"/>
          <w:sz w:val="24"/>
          <w:szCs w:val="24"/>
        </w:rPr>
        <w:t xml:space="preserve">decisions </w:t>
      </w:r>
      <w:r w:rsidR="00F201EB">
        <w:rPr>
          <w:rFonts w:ascii="Times New Roman" w:hAnsi="Times New Roman" w:cs="Times New Roman"/>
          <w:sz w:val="24"/>
          <w:szCs w:val="24"/>
        </w:rPr>
        <w:t xml:space="preserve">in the Court of </w:t>
      </w:r>
      <w:r w:rsidR="005A03E9">
        <w:rPr>
          <w:rFonts w:ascii="Times New Roman" w:hAnsi="Times New Roman" w:cs="Times New Roman"/>
          <w:sz w:val="24"/>
          <w:szCs w:val="24"/>
        </w:rPr>
        <w:t xml:space="preserve">Session and the House of Lords: </w:t>
      </w:r>
      <w:r w:rsidR="00A54ECC" w:rsidRPr="00A54ECC">
        <w:rPr>
          <w:rFonts w:ascii="Times New Roman" w:hAnsi="Times New Roman" w:cs="Times New Roman"/>
          <w:i/>
          <w:sz w:val="24"/>
          <w:szCs w:val="24"/>
        </w:rPr>
        <w:t>Morgan Guaranty Trust Company of New York v Lothian Regional Counci</w:t>
      </w:r>
      <w:r w:rsidR="00CE10ED">
        <w:rPr>
          <w:rFonts w:ascii="Times New Roman" w:hAnsi="Times New Roman" w:cs="Times New Roman"/>
          <w:i/>
          <w:sz w:val="24"/>
          <w:szCs w:val="24"/>
        </w:rPr>
        <w:t>l</w:t>
      </w:r>
      <w:bookmarkStart w:id="2" w:name="_Ref525824574"/>
      <w:r w:rsidR="005A03E9" w:rsidRPr="00CE10ED">
        <w:rPr>
          <w:rStyle w:val="FootnoteReference"/>
          <w:rFonts w:ascii="Times New Roman" w:hAnsi="Times New Roman" w:cs="Times New Roman"/>
          <w:sz w:val="24"/>
          <w:szCs w:val="24"/>
        </w:rPr>
        <w:footnoteReference w:id="3"/>
      </w:r>
      <w:bookmarkEnd w:id="2"/>
      <w:r w:rsidR="00CE10ED">
        <w:rPr>
          <w:rFonts w:ascii="Times New Roman" w:hAnsi="Times New Roman" w:cs="Times New Roman"/>
          <w:i/>
          <w:sz w:val="24"/>
          <w:szCs w:val="24"/>
        </w:rPr>
        <w:t xml:space="preserve">, </w:t>
      </w:r>
      <w:r w:rsidR="00A54ECC" w:rsidRPr="000118BC">
        <w:rPr>
          <w:rFonts w:ascii="Times New Roman" w:hAnsi="Times New Roman" w:cs="Times New Roman"/>
          <w:i/>
          <w:sz w:val="24"/>
          <w:szCs w:val="24"/>
        </w:rPr>
        <w:t>Shilliday v Smith</w:t>
      </w:r>
      <w:bookmarkStart w:id="3" w:name="_Ref525824742"/>
      <w:r w:rsidR="00CE10ED" w:rsidRPr="00351EDA">
        <w:rPr>
          <w:rStyle w:val="FootnoteReference"/>
          <w:rFonts w:ascii="Times New Roman" w:hAnsi="Times New Roman" w:cs="Times New Roman"/>
          <w:sz w:val="24"/>
          <w:szCs w:val="24"/>
        </w:rPr>
        <w:footnoteReference w:id="4"/>
      </w:r>
      <w:bookmarkEnd w:id="3"/>
      <w:r w:rsidR="00CE10ED">
        <w:rPr>
          <w:rFonts w:ascii="Times New Roman" w:hAnsi="Times New Roman" w:cs="Times New Roman"/>
          <w:sz w:val="24"/>
          <w:szCs w:val="24"/>
        </w:rPr>
        <w:t xml:space="preserve"> and </w:t>
      </w:r>
      <w:r w:rsidR="00A54ECC" w:rsidRPr="000118BC">
        <w:rPr>
          <w:rFonts w:ascii="Times New Roman" w:hAnsi="Times New Roman" w:cs="Times New Roman"/>
          <w:i/>
          <w:sz w:val="24"/>
          <w:szCs w:val="24"/>
        </w:rPr>
        <w:t>Dollar Land (Cumbernauld) Ltd v CIN Properties Ltd</w:t>
      </w:r>
      <w:r w:rsidR="00CE3CD0">
        <w:rPr>
          <w:rFonts w:ascii="Times New Roman" w:hAnsi="Times New Roman" w:cs="Times New Roman"/>
          <w:i/>
          <w:sz w:val="24"/>
          <w:szCs w:val="24"/>
        </w:rPr>
        <w:t>.</w:t>
      </w:r>
      <w:bookmarkStart w:id="4" w:name="_Ref525824697"/>
      <w:r w:rsidR="00CE10ED" w:rsidRPr="00351EDA">
        <w:rPr>
          <w:rStyle w:val="FootnoteReference"/>
          <w:rFonts w:ascii="Times New Roman" w:hAnsi="Times New Roman" w:cs="Times New Roman"/>
          <w:sz w:val="24"/>
          <w:szCs w:val="24"/>
        </w:rPr>
        <w:footnoteReference w:id="5"/>
      </w:r>
      <w:bookmarkEnd w:id="4"/>
      <w:r w:rsidR="00E44A46">
        <w:rPr>
          <w:rFonts w:ascii="Times New Roman" w:hAnsi="Times New Roman" w:cs="Times New Roman"/>
          <w:i/>
          <w:sz w:val="24"/>
          <w:szCs w:val="24"/>
        </w:rPr>
        <w:t xml:space="preserve"> </w:t>
      </w:r>
      <w:r w:rsidR="008F0863">
        <w:rPr>
          <w:rFonts w:ascii="Times New Roman" w:hAnsi="Times New Roman" w:cs="Times New Roman"/>
          <w:sz w:val="24"/>
          <w:szCs w:val="24"/>
        </w:rPr>
        <w:t xml:space="preserve">It is </w:t>
      </w:r>
      <w:r w:rsidR="0035729F" w:rsidRPr="0035729F">
        <w:rPr>
          <w:rFonts w:ascii="Times New Roman" w:hAnsi="Times New Roman" w:cs="Times New Roman"/>
          <w:sz w:val="24"/>
          <w:szCs w:val="24"/>
        </w:rPr>
        <w:t>misleading to portray the revolution as having been purely “judicial”. Its stimulus was the work of an academic</w:t>
      </w:r>
      <w:r w:rsidR="00D71C51">
        <w:rPr>
          <w:rFonts w:ascii="Times New Roman" w:hAnsi="Times New Roman" w:cs="Times New Roman"/>
          <w:sz w:val="24"/>
          <w:szCs w:val="24"/>
        </w:rPr>
        <w:t xml:space="preserve"> whose primary focus was English law.</w:t>
      </w:r>
      <w:r w:rsidR="0035729F" w:rsidRPr="0035729F">
        <w:rPr>
          <w:rFonts w:ascii="Times New Roman" w:hAnsi="Times New Roman" w:cs="Times New Roman"/>
          <w:sz w:val="24"/>
          <w:szCs w:val="24"/>
        </w:rPr>
        <w:t xml:space="preserve"> In the 19</w:t>
      </w:r>
      <w:r w:rsidR="0035729F" w:rsidRPr="0035729F">
        <w:rPr>
          <w:rFonts w:ascii="Times New Roman" w:hAnsi="Times New Roman" w:cs="Times New Roman"/>
          <w:sz w:val="24"/>
          <w:szCs w:val="24"/>
          <w:vertAlign w:val="superscript"/>
        </w:rPr>
        <w:t>th</w:t>
      </w:r>
      <w:r w:rsidR="0035729F" w:rsidRPr="0035729F">
        <w:rPr>
          <w:rFonts w:ascii="Times New Roman" w:hAnsi="Times New Roman" w:cs="Times New Roman"/>
          <w:sz w:val="24"/>
          <w:szCs w:val="24"/>
        </w:rPr>
        <w:t xml:space="preserve"> century Sir Frederick Pollock stood behind major developments in understandings of the Scots law of frustration of contract and delict. In the same tradition </w:t>
      </w:r>
      <w:r w:rsidR="001E2D2C">
        <w:rPr>
          <w:rFonts w:ascii="Times New Roman" w:hAnsi="Times New Roman" w:cs="Times New Roman"/>
          <w:sz w:val="24"/>
          <w:szCs w:val="24"/>
        </w:rPr>
        <w:t xml:space="preserve">of cross-border influence </w:t>
      </w:r>
      <w:r w:rsidR="0035729F" w:rsidRPr="0035729F">
        <w:rPr>
          <w:rFonts w:ascii="Times New Roman" w:hAnsi="Times New Roman" w:cs="Times New Roman"/>
          <w:sz w:val="24"/>
          <w:szCs w:val="24"/>
        </w:rPr>
        <w:t>the stimulus for the recent revolution in unjustified enrichment was the work of Peter Birks.</w:t>
      </w:r>
      <w:r w:rsidR="00CE3CD0" w:rsidRPr="00CE3CD0">
        <w:rPr>
          <w:rStyle w:val="FootnoteReference"/>
          <w:rFonts w:ascii="Times New Roman" w:hAnsi="Times New Roman" w:cs="Times New Roman"/>
          <w:sz w:val="24"/>
          <w:szCs w:val="24"/>
        </w:rPr>
        <w:t xml:space="preserve"> </w:t>
      </w:r>
      <w:r w:rsidR="00CE3CD0">
        <w:rPr>
          <w:rStyle w:val="FootnoteReference"/>
          <w:rFonts w:ascii="Times New Roman" w:hAnsi="Times New Roman" w:cs="Times New Roman"/>
          <w:sz w:val="24"/>
          <w:szCs w:val="24"/>
        </w:rPr>
        <w:footnoteReference w:id="6"/>
      </w:r>
      <w:r w:rsidR="0035729F" w:rsidRPr="0035729F">
        <w:rPr>
          <w:rFonts w:ascii="Times New Roman" w:hAnsi="Times New Roman" w:cs="Times New Roman"/>
          <w:sz w:val="24"/>
          <w:szCs w:val="24"/>
        </w:rPr>
        <w:t xml:space="preserve"> </w:t>
      </w:r>
      <w:r w:rsidR="00E44A46">
        <w:rPr>
          <w:rFonts w:ascii="Times New Roman" w:hAnsi="Times New Roman" w:cs="Times New Roman"/>
          <w:sz w:val="24"/>
          <w:szCs w:val="24"/>
        </w:rPr>
        <w:t xml:space="preserve">It </w:t>
      </w:r>
      <w:r w:rsidR="0035729F" w:rsidRPr="0035729F">
        <w:rPr>
          <w:rFonts w:ascii="Times New Roman" w:hAnsi="Times New Roman" w:cs="Times New Roman"/>
          <w:sz w:val="24"/>
          <w:szCs w:val="24"/>
        </w:rPr>
        <w:t>is a testament to his powerful personal influence</w:t>
      </w:r>
      <w:r w:rsidR="00E44A46">
        <w:rPr>
          <w:rFonts w:ascii="Times New Roman" w:hAnsi="Times New Roman" w:cs="Times New Roman"/>
          <w:sz w:val="24"/>
          <w:szCs w:val="24"/>
        </w:rPr>
        <w:t xml:space="preserve">. In </w:t>
      </w:r>
      <w:r w:rsidR="00E44A46" w:rsidRPr="00E44A46">
        <w:rPr>
          <w:rFonts w:ascii="Times New Roman" w:hAnsi="Times New Roman" w:cs="Times New Roman"/>
          <w:i/>
          <w:sz w:val="24"/>
          <w:szCs w:val="24"/>
        </w:rPr>
        <w:t>Shilliday</w:t>
      </w:r>
      <w:r w:rsidR="00E44A46">
        <w:rPr>
          <w:rFonts w:ascii="Times New Roman" w:hAnsi="Times New Roman" w:cs="Times New Roman"/>
          <w:sz w:val="24"/>
          <w:szCs w:val="24"/>
        </w:rPr>
        <w:t xml:space="preserve"> the leading judgment was given by Lord Rodger who said that:</w:t>
      </w:r>
      <w:r w:rsidR="00A13DF9">
        <w:rPr>
          <w:rStyle w:val="FootnoteReference"/>
          <w:rFonts w:ascii="Times New Roman" w:eastAsia="Calibri" w:hAnsi="Times New Roman" w:cs="Times New Roman"/>
          <w:sz w:val="24"/>
          <w:szCs w:val="24"/>
        </w:rPr>
        <w:footnoteReference w:id="7"/>
      </w:r>
    </w:p>
    <w:p w14:paraId="539861D0" w14:textId="7CAFD152" w:rsidR="00A13DF9" w:rsidRPr="00A13DF9" w:rsidRDefault="00A13DF9" w:rsidP="00A13DF9">
      <w:pPr>
        <w:spacing w:after="0" w:line="240" w:lineRule="auto"/>
        <w:ind w:left="284"/>
        <w:jc w:val="both"/>
        <w:rPr>
          <w:rFonts w:ascii="Times New Roman" w:eastAsia="Calibri" w:hAnsi="Times New Roman" w:cs="Times New Roman"/>
          <w:sz w:val="24"/>
          <w:szCs w:val="24"/>
        </w:rPr>
      </w:pPr>
      <w:r w:rsidRPr="00A13DF9">
        <w:rPr>
          <w:rFonts w:ascii="Times New Roman" w:eastAsia="Calibri" w:hAnsi="Times New Roman" w:cs="Times New Roman"/>
          <w:sz w:val="24"/>
          <w:szCs w:val="24"/>
        </w:rPr>
        <w:t xml:space="preserve">“Anyone who tries to glimpse the underlying realities </w:t>
      </w:r>
      <w:r w:rsidR="00E9770E">
        <w:rPr>
          <w:rFonts w:ascii="Times New Roman" w:eastAsia="Calibri" w:hAnsi="Times New Roman" w:cs="Times New Roman"/>
          <w:sz w:val="24"/>
          <w:szCs w:val="24"/>
        </w:rPr>
        <w:t>[</w:t>
      </w:r>
      <w:r>
        <w:rPr>
          <w:rFonts w:ascii="Times New Roman" w:eastAsia="Calibri" w:hAnsi="Times New Roman" w:cs="Times New Roman"/>
          <w:sz w:val="24"/>
          <w:szCs w:val="24"/>
        </w:rPr>
        <w:t>of unjustified enrichment in Scots law</w:t>
      </w:r>
      <w:r w:rsidR="00E9770E">
        <w:rPr>
          <w:rFonts w:ascii="Times New Roman" w:eastAsia="Calibri" w:hAnsi="Times New Roman" w:cs="Times New Roman"/>
          <w:sz w:val="24"/>
          <w:szCs w:val="24"/>
        </w:rPr>
        <w:t xml:space="preserve">] </w:t>
      </w:r>
      <w:r w:rsidRPr="00A13DF9">
        <w:rPr>
          <w:rFonts w:ascii="Times New Roman" w:eastAsia="Calibri" w:hAnsi="Times New Roman" w:cs="Times New Roman"/>
          <w:sz w:val="24"/>
          <w:szCs w:val="24"/>
        </w:rPr>
        <w:t>must start from the work of Professor Peter Birks</w:t>
      </w:r>
      <w:r w:rsidR="008F0863">
        <w:rPr>
          <w:rFonts w:ascii="Times New Roman" w:eastAsia="Calibri" w:hAnsi="Times New Roman" w:cs="Times New Roman"/>
          <w:sz w:val="24"/>
          <w:szCs w:val="24"/>
        </w:rPr>
        <w:t>, Regius Professor of Civil law at the University of Oxford</w:t>
      </w:r>
      <w:r w:rsidRPr="00A13DF9">
        <w:rPr>
          <w:rFonts w:ascii="Times New Roman" w:eastAsia="Calibri" w:hAnsi="Times New Roman" w:cs="Times New Roman"/>
          <w:sz w:val="24"/>
          <w:szCs w:val="24"/>
        </w:rPr>
        <w:t>…”</w:t>
      </w:r>
      <w:r w:rsidR="002E4103">
        <w:rPr>
          <w:rStyle w:val="FootnoteReference"/>
          <w:rFonts w:ascii="Times New Roman" w:eastAsia="Calibri" w:hAnsi="Times New Roman" w:cs="Times New Roman"/>
          <w:sz w:val="24"/>
          <w:szCs w:val="24"/>
        </w:rPr>
        <w:footnoteReference w:id="8"/>
      </w:r>
    </w:p>
    <w:p w14:paraId="17ED44E0" w14:textId="77777777" w:rsidR="00E44A46" w:rsidRDefault="00E44A46" w:rsidP="0035729F">
      <w:pPr>
        <w:spacing w:after="0" w:line="360" w:lineRule="auto"/>
        <w:jc w:val="both"/>
        <w:rPr>
          <w:rFonts w:ascii="Times New Roman" w:hAnsi="Times New Roman" w:cs="Times New Roman"/>
          <w:sz w:val="24"/>
          <w:szCs w:val="24"/>
        </w:rPr>
      </w:pPr>
    </w:p>
    <w:p w14:paraId="047816D3" w14:textId="6AF796B3" w:rsidR="0035729F" w:rsidRPr="0035729F" w:rsidRDefault="0035729F" w:rsidP="0035729F">
      <w:pPr>
        <w:spacing w:after="0" w:line="360" w:lineRule="auto"/>
        <w:jc w:val="both"/>
        <w:rPr>
          <w:rFonts w:ascii="Times New Roman" w:hAnsi="Times New Roman" w:cs="Times New Roman"/>
          <w:sz w:val="24"/>
          <w:szCs w:val="24"/>
        </w:rPr>
      </w:pPr>
      <w:r w:rsidRPr="0035729F">
        <w:rPr>
          <w:rFonts w:ascii="Times New Roman" w:hAnsi="Times New Roman" w:cs="Times New Roman"/>
          <w:sz w:val="24"/>
          <w:szCs w:val="24"/>
        </w:rPr>
        <w:t xml:space="preserve">Scottish academic writers </w:t>
      </w:r>
      <w:r w:rsidR="00A13DF9">
        <w:rPr>
          <w:rFonts w:ascii="Times New Roman" w:hAnsi="Times New Roman" w:cs="Times New Roman"/>
          <w:sz w:val="24"/>
          <w:szCs w:val="24"/>
        </w:rPr>
        <w:t xml:space="preserve">like Niall Whitty </w:t>
      </w:r>
      <w:r w:rsidRPr="0035729F">
        <w:rPr>
          <w:rFonts w:ascii="Times New Roman" w:hAnsi="Times New Roman" w:cs="Times New Roman"/>
          <w:sz w:val="24"/>
          <w:szCs w:val="24"/>
        </w:rPr>
        <w:t xml:space="preserve">have </w:t>
      </w:r>
      <w:r w:rsidR="002E4103">
        <w:rPr>
          <w:rFonts w:ascii="Times New Roman" w:hAnsi="Times New Roman" w:cs="Times New Roman"/>
          <w:sz w:val="24"/>
          <w:szCs w:val="24"/>
        </w:rPr>
        <w:t xml:space="preserve">also </w:t>
      </w:r>
      <w:r w:rsidRPr="0035729F">
        <w:rPr>
          <w:rFonts w:ascii="Times New Roman" w:hAnsi="Times New Roman" w:cs="Times New Roman"/>
          <w:sz w:val="24"/>
          <w:szCs w:val="24"/>
        </w:rPr>
        <w:t xml:space="preserve">developed </w:t>
      </w:r>
      <w:r w:rsidR="0044520C">
        <w:rPr>
          <w:rFonts w:ascii="Times New Roman" w:hAnsi="Times New Roman" w:cs="Times New Roman"/>
          <w:sz w:val="24"/>
          <w:szCs w:val="24"/>
        </w:rPr>
        <w:t>the law in significant ways,</w:t>
      </w:r>
      <w:r w:rsidRPr="0035729F">
        <w:rPr>
          <w:rFonts w:ascii="Times New Roman" w:hAnsi="Times New Roman" w:cs="Times New Roman"/>
          <w:sz w:val="24"/>
          <w:szCs w:val="24"/>
        </w:rPr>
        <w:t xml:space="preserve"> </w:t>
      </w:r>
      <w:r w:rsidR="0044520C">
        <w:rPr>
          <w:rFonts w:ascii="Times New Roman" w:hAnsi="Times New Roman" w:cs="Times New Roman"/>
          <w:sz w:val="24"/>
          <w:szCs w:val="24"/>
        </w:rPr>
        <w:t>as</w:t>
      </w:r>
      <w:r w:rsidR="001E2D2C">
        <w:rPr>
          <w:rFonts w:ascii="Times New Roman" w:hAnsi="Times New Roman" w:cs="Times New Roman"/>
          <w:sz w:val="24"/>
          <w:szCs w:val="24"/>
        </w:rPr>
        <w:t>, for example,</w:t>
      </w:r>
      <w:r w:rsidR="00853452">
        <w:rPr>
          <w:rFonts w:ascii="Times New Roman" w:hAnsi="Times New Roman" w:cs="Times New Roman"/>
          <w:sz w:val="24"/>
          <w:szCs w:val="24"/>
        </w:rPr>
        <w:t xml:space="preserve"> in </w:t>
      </w:r>
      <w:r w:rsidR="001E2D2C">
        <w:rPr>
          <w:rFonts w:ascii="Times New Roman" w:hAnsi="Times New Roman" w:cs="Times New Roman"/>
          <w:sz w:val="24"/>
          <w:szCs w:val="24"/>
        </w:rPr>
        <w:t xml:space="preserve">his </w:t>
      </w:r>
      <w:r w:rsidRPr="0035729F">
        <w:rPr>
          <w:rFonts w:ascii="Times New Roman" w:hAnsi="Times New Roman" w:cs="Times New Roman"/>
          <w:sz w:val="24"/>
          <w:szCs w:val="24"/>
        </w:rPr>
        <w:t xml:space="preserve">understanding that unjustified enrichment comprises different groups </w:t>
      </w:r>
      <w:r w:rsidRPr="0035729F">
        <w:rPr>
          <w:rFonts w:ascii="Times New Roman" w:hAnsi="Times New Roman" w:cs="Times New Roman"/>
          <w:sz w:val="24"/>
          <w:szCs w:val="24"/>
        </w:rPr>
        <w:lastRenderedPageBreak/>
        <w:t>of cases that are best distinguished from one another according to the manner in which the enrichment was acquired.</w:t>
      </w:r>
      <w:r w:rsidR="00F43197">
        <w:rPr>
          <w:rStyle w:val="FootnoteReference"/>
          <w:rFonts w:ascii="Times New Roman" w:hAnsi="Times New Roman" w:cs="Times New Roman"/>
          <w:sz w:val="24"/>
          <w:szCs w:val="24"/>
        </w:rPr>
        <w:footnoteReference w:id="9"/>
      </w:r>
    </w:p>
    <w:p w14:paraId="0E106124" w14:textId="77777777" w:rsidR="006E7D7F" w:rsidRPr="00BC3A8F" w:rsidRDefault="002E4103" w:rsidP="002E41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examines, </w:t>
      </w:r>
      <w:r w:rsidR="004454F8">
        <w:rPr>
          <w:rFonts w:ascii="Times New Roman" w:hAnsi="Times New Roman" w:cs="Times New Roman"/>
          <w:sz w:val="24"/>
          <w:szCs w:val="24"/>
        </w:rPr>
        <w:t>briefly</w:t>
      </w:r>
      <w:r>
        <w:rPr>
          <w:rFonts w:ascii="Times New Roman" w:hAnsi="Times New Roman" w:cs="Times New Roman"/>
          <w:sz w:val="24"/>
          <w:szCs w:val="24"/>
        </w:rPr>
        <w:t xml:space="preserve">, the content of the Scottish enrichment revolution. However, its </w:t>
      </w:r>
      <w:r w:rsidR="00050F3C">
        <w:rPr>
          <w:rFonts w:ascii="Times New Roman" w:hAnsi="Times New Roman" w:cs="Times New Roman"/>
          <w:sz w:val="24"/>
          <w:szCs w:val="24"/>
        </w:rPr>
        <w:t xml:space="preserve">main </w:t>
      </w:r>
      <w:r>
        <w:rPr>
          <w:rFonts w:ascii="Times New Roman" w:hAnsi="Times New Roman" w:cs="Times New Roman"/>
          <w:sz w:val="24"/>
          <w:szCs w:val="24"/>
        </w:rPr>
        <w:t xml:space="preserve">focus is modern South African law with which aspects of the Scottish </w:t>
      </w:r>
      <w:r w:rsidR="00050F3C">
        <w:rPr>
          <w:rFonts w:ascii="Times New Roman" w:hAnsi="Times New Roman" w:cs="Times New Roman"/>
          <w:sz w:val="24"/>
          <w:szCs w:val="24"/>
        </w:rPr>
        <w:t>“</w:t>
      </w:r>
      <w:r>
        <w:rPr>
          <w:rFonts w:ascii="Times New Roman" w:hAnsi="Times New Roman" w:cs="Times New Roman"/>
          <w:sz w:val="24"/>
          <w:szCs w:val="24"/>
        </w:rPr>
        <w:t>revolution</w:t>
      </w:r>
      <w:r w:rsidR="00050F3C">
        <w:rPr>
          <w:rFonts w:ascii="Times New Roman" w:hAnsi="Times New Roman" w:cs="Times New Roman"/>
          <w:sz w:val="24"/>
          <w:szCs w:val="24"/>
        </w:rPr>
        <w:t>”</w:t>
      </w:r>
      <w:r>
        <w:rPr>
          <w:rFonts w:ascii="Times New Roman" w:hAnsi="Times New Roman" w:cs="Times New Roman"/>
          <w:sz w:val="24"/>
          <w:szCs w:val="24"/>
        </w:rPr>
        <w:t xml:space="preserve"> resonate closely, in particular </w:t>
      </w:r>
      <w:r w:rsidR="0044520C">
        <w:rPr>
          <w:rFonts w:ascii="Times New Roman" w:hAnsi="Times New Roman" w:cs="Times New Roman"/>
          <w:sz w:val="24"/>
          <w:szCs w:val="24"/>
        </w:rPr>
        <w:t xml:space="preserve">in relation to </w:t>
      </w:r>
      <w:r>
        <w:rPr>
          <w:rFonts w:ascii="Times New Roman" w:hAnsi="Times New Roman" w:cs="Times New Roman"/>
          <w:sz w:val="24"/>
          <w:szCs w:val="24"/>
        </w:rPr>
        <w:t>a “general enrichment “action””.</w:t>
      </w:r>
      <w:r w:rsidR="004454F8">
        <w:rPr>
          <w:rFonts w:ascii="Times New Roman" w:hAnsi="Times New Roman" w:cs="Times New Roman"/>
          <w:sz w:val="24"/>
          <w:szCs w:val="24"/>
        </w:rPr>
        <w:t xml:space="preserve"> Perhaps curiously, the issue of the general “action” has arisen </w:t>
      </w:r>
      <w:r w:rsidR="00132602">
        <w:rPr>
          <w:rFonts w:ascii="Times New Roman" w:hAnsi="Times New Roman" w:cs="Times New Roman"/>
          <w:sz w:val="24"/>
          <w:szCs w:val="24"/>
        </w:rPr>
        <w:t xml:space="preserve">most prominently </w:t>
      </w:r>
      <w:r w:rsidR="004454F8">
        <w:rPr>
          <w:rFonts w:ascii="Times New Roman" w:hAnsi="Times New Roman" w:cs="Times New Roman"/>
          <w:sz w:val="24"/>
          <w:szCs w:val="24"/>
        </w:rPr>
        <w:t xml:space="preserve">in the context of improvement of another’s property. </w:t>
      </w:r>
      <w:r w:rsidR="00BC3A8F">
        <w:rPr>
          <w:rFonts w:ascii="Times New Roman" w:hAnsi="Times New Roman" w:cs="Times New Roman"/>
          <w:sz w:val="24"/>
          <w:szCs w:val="24"/>
        </w:rPr>
        <w:t xml:space="preserve">For this reason the chapter examines the background to the </w:t>
      </w:r>
      <w:r w:rsidR="001E2D2C">
        <w:rPr>
          <w:rFonts w:ascii="Times New Roman" w:hAnsi="Times New Roman" w:cs="Times New Roman"/>
          <w:sz w:val="24"/>
          <w:szCs w:val="24"/>
        </w:rPr>
        <w:t xml:space="preserve">current </w:t>
      </w:r>
      <w:r w:rsidR="00BC3A8F">
        <w:rPr>
          <w:rFonts w:ascii="Times New Roman" w:hAnsi="Times New Roman" w:cs="Times New Roman"/>
          <w:sz w:val="24"/>
          <w:szCs w:val="24"/>
        </w:rPr>
        <w:t xml:space="preserve">South African </w:t>
      </w:r>
      <w:r w:rsidR="001E2D2C">
        <w:rPr>
          <w:rFonts w:ascii="Times New Roman" w:hAnsi="Times New Roman" w:cs="Times New Roman"/>
          <w:sz w:val="24"/>
          <w:szCs w:val="24"/>
        </w:rPr>
        <w:t xml:space="preserve">law </w:t>
      </w:r>
      <w:r w:rsidR="00BC3A8F">
        <w:rPr>
          <w:rFonts w:ascii="Times New Roman" w:hAnsi="Times New Roman" w:cs="Times New Roman"/>
          <w:sz w:val="24"/>
          <w:szCs w:val="24"/>
        </w:rPr>
        <w:t xml:space="preserve">on “improvements” which in turn explains the approach </w:t>
      </w:r>
      <w:r w:rsidR="00853452">
        <w:rPr>
          <w:rFonts w:ascii="Times New Roman" w:hAnsi="Times New Roman" w:cs="Times New Roman"/>
          <w:sz w:val="24"/>
          <w:szCs w:val="24"/>
        </w:rPr>
        <w:t xml:space="preserve">taken by </w:t>
      </w:r>
      <w:r w:rsidR="00BC3A8F">
        <w:rPr>
          <w:rFonts w:ascii="Times New Roman" w:hAnsi="Times New Roman" w:cs="Times New Roman"/>
          <w:sz w:val="24"/>
          <w:szCs w:val="24"/>
        </w:rPr>
        <w:t xml:space="preserve">the South African Supreme Court of Appeal in </w:t>
      </w:r>
      <w:r w:rsidR="00BC3A8F" w:rsidRPr="00BC3A8F">
        <w:rPr>
          <w:rFonts w:ascii="Times New Roman" w:hAnsi="Times New Roman" w:cs="Times New Roman"/>
          <w:i/>
          <w:sz w:val="24"/>
          <w:szCs w:val="24"/>
        </w:rPr>
        <w:t>McCarthy Retail Ltd v Shortdistance Carri</w:t>
      </w:r>
      <w:r w:rsidR="00BC3A8F">
        <w:rPr>
          <w:rFonts w:ascii="Times New Roman" w:hAnsi="Times New Roman" w:cs="Times New Roman"/>
          <w:i/>
          <w:sz w:val="24"/>
          <w:szCs w:val="24"/>
        </w:rPr>
        <w:t>e</w:t>
      </w:r>
      <w:r w:rsidR="00BC3A8F" w:rsidRPr="00BC3A8F">
        <w:rPr>
          <w:rFonts w:ascii="Times New Roman" w:hAnsi="Times New Roman" w:cs="Times New Roman"/>
          <w:i/>
          <w:sz w:val="24"/>
          <w:szCs w:val="24"/>
        </w:rPr>
        <w:t>rs CC</w:t>
      </w:r>
      <w:r w:rsidR="00BC3A8F">
        <w:rPr>
          <w:rFonts w:ascii="Times New Roman" w:hAnsi="Times New Roman" w:cs="Times New Roman"/>
          <w:sz w:val="24"/>
          <w:szCs w:val="24"/>
        </w:rPr>
        <w:t>.</w:t>
      </w:r>
      <w:bookmarkStart w:id="5" w:name="_Ref525825240"/>
      <w:r w:rsidR="00DB22F2">
        <w:rPr>
          <w:rStyle w:val="FootnoteReference"/>
          <w:rFonts w:ascii="Times New Roman" w:hAnsi="Times New Roman" w:cs="Times New Roman"/>
          <w:sz w:val="24"/>
          <w:szCs w:val="24"/>
        </w:rPr>
        <w:footnoteReference w:id="10"/>
      </w:r>
      <w:bookmarkEnd w:id="5"/>
      <w:r w:rsidR="00BC3A8F">
        <w:rPr>
          <w:rFonts w:ascii="Times New Roman" w:hAnsi="Times New Roman" w:cs="Times New Roman"/>
          <w:sz w:val="24"/>
          <w:szCs w:val="24"/>
        </w:rPr>
        <w:t xml:space="preserve"> The Court identified a paradigm in the facts of </w:t>
      </w:r>
      <w:r w:rsidR="00BC3A8F" w:rsidRPr="00BC3A8F">
        <w:rPr>
          <w:rFonts w:ascii="Times New Roman" w:hAnsi="Times New Roman" w:cs="Times New Roman"/>
          <w:i/>
          <w:sz w:val="24"/>
          <w:szCs w:val="24"/>
        </w:rPr>
        <w:t>McCarthy</w:t>
      </w:r>
      <w:r w:rsidR="00BC3A8F">
        <w:rPr>
          <w:rFonts w:ascii="Times New Roman" w:hAnsi="Times New Roman" w:cs="Times New Roman"/>
          <w:sz w:val="24"/>
          <w:szCs w:val="24"/>
        </w:rPr>
        <w:t xml:space="preserve"> which enabled it to dispose of the challenging facts as a </w:t>
      </w:r>
      <w:r w:rsidR="00853452">
        <w:rPr>
          <w:rFonts w:ascii="Times New Roman" w:hAnsi="Times New Roman" w:cs="Times New Roman"/>
          <w:sz w:val="24"/>
          <w:szCs w:val="24"/>
        </w:rPr>
        <w:t>“typical</w:t>
      </w:r>
      <w:r w:rsidR="001E2D2C">
        <w:rPr>
          <w:rFonts w:ascii="Times New Roman" w:hAnsi="Times New Roman" w:cs="Times New Roman"/>
          <w:sz w:val="24"/>
          <w:szCs w:val="24"/>
        </w:rPr>
        <w:t>”</w:t>
      </w:r>
      <w:r w:rsidR="00853452">
        <w:rPr>
          <w:rFonts w:ascii="Times New Roman" w:hAnsi="Times New Roman" w:cs="Times New Roman"/>
          <w:sz w:val="24"/>
          <w:szCs w:val="24"/>
        </w:rPr>
        <w:t xml:space="preserve"> </w:t>
      </w:r>
      <w:r w:rsidR="00BC3A8F">
        <w:rPr>
          <w:rFonts w:ascii="Times New Roman" w:hAnsi="Times New Roman" w:cs="Times New Roman"/>
          <w:sz w:val="24"/>
          <w:szCs w:val="24"/>
        </w:rPr>
        <w:t>improvement</w:t>
      </w:r>
      <w:r w:rsidR="00132602">
        <w:rPr>
          <w:rFonts w:ascii="Times New Roman" w:hAnsi="Times New Roman" w:cs="Times New Roman"/>
          <w:sz w:val="24"/>
          <w:szCs w:val="24"/>
        </w:rPr>
        <w:t>s</w:t>
      </w:r>
      <w:r w:rsidR="00BC3A8F">
        <w:rPr>
          <w:rFonts w:ascii="Times New Roman" w:hAnsi="Times New Roman" w:cs="Times New Roman"/>
          <w:sz w:val="24"/>
          <w:szCs w:val="24"/>
        </w:rPr>
        <w:t xml:space="preserve"> claim. The decision has received universal academic approbation. Whether this is justified will be </w:t>
      </w:r>
      <w:r w:rsidR="00132602">
        <w:rPr>
          <w:rFonts w:ascii="Times New Roman" w:hAnsi="Times New Roman" w:cs="Times New Roman"/>
          <w:sz w:val="24"/>
          <w:szCs w:val="24"/>
        </w:rPr>
        <w:t>questioned, partly by reference to developments that occurred recently in Scots law in its   “revolution”.</w:t>
      </w:r>
    </w:p>
    <w:p w14:paraId="256B564E" w14:textId="77777777" w:rsidR="001B7110" w:rsidRDefault="00132602" w:rsidP="00D5166B">
      <w:pPr>
        <w:spacing w:after="0" w:line="360" w:lineRule="auto"/>
        <w:jc w:val="both"/>
        <w:rPr>
          <w:rFonts w:ascii="Times New Roman" w:hAnsi="Times New Roman" w:cs="Times New Roman"/>
          <w:i/>
          <w:sz w:val="24"/>
          <w:szCs w:val="24"/>
        </w:rPr>
      </w:pPr>
      <w:r w:rsidRPr="00132602">
        <w:rPr>
          <w:rFonts w:ascii="Times New Roman" w:hAnsi="Times New Roman" w:cs="Times New Roman"/>
          <w:i/>
          <w:sz w:val="24"/>
          <w:szCs w:val="24"/>
        </w:rPr>
        <w:t>Scottish Enrichment Revolution: Content</w:t>
      </w:r>
    </w:p>
    <w:p w14:paraId="21DAB8F7" w14:textId="77777777" w:rsidR="00132602" w:rsidRPr="00132602" w:rsidRDefault="006470E1" w:rsidP="00D5166B">
      <w:pPr>
        <w:spacing w:after="0" w:line="360" w:lineRule="auto"/>
        <w:jc w:val="both"/>
        <w:rPr>
          <w:rFonts w:ascii="Times New Roman" w:hAnsi="Times New Roman" w:cs="Times New Roman"/>
          <w:i/>
          <w:sz w:val="24"/>
          <w:szCs w:val="24"/>
        </w:rPr>
      </w:pPr>
      <w:r w:rsidRPr="006470E1">
        <w:rPr>
          <w:rFonts w:ascii="Times New Roman" w:hAnsi="Times New Roman" w:cs="Times New Roman"/>
          <w:sz w:val="24"/>
          <w:szCs w:val="24"/>
        </w:rPr>
        <w:t>(1)</w:t>
      </w:r>
      <w:r>
        <w:rPr>
          <w:rFonts w:ascii="Times New Roman" w:hAnsi="Times New Roman" w:cs="Times New Roman"/>
          <w:i/>
          <w:sz w:val="24"/>
          <w:szCs w:val="24"/>
        </w:rPr>
        <w:t xml:space="preserve"> </w:t>
      </w:r>
      <w:r w:rsidR="00132602">
        <w:rPr>
          <w:rFonts w:ascii="Times New Roman" w:hAnsi="Times New Roman" w:cs="Times New Roman"/>
          <w:i/>
          <w:sz w:val="24"/>
          <w:szCs w:val="24"/>
        </w:rPr>
        <w:t>Recognition of Unjustified Enrichment</w:t>
      </w:r>
    </w:p>
    <w:p w14:paraId="5EF6B245" w14:textId="031FD8B8" w:rsidR="00DF0805" w:rsidRPr="00DF0805" w:rsidRDefault="00F0600C" w:rsidP="00DF08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Historically u</w:t>
      </w:r>
      <w:r w:rsidR="00645046">
        <w:rPr>
          <w:rFonts w:ascii="Times New Roman" w:hAnsi="Times New Roman" w:cs="Times New Roman"/>
          <w:sz w:val="24"/>
          <w:szCs w:val="24"/>
        </w:rPr>
        <w:t xml:space="preserve">njustified enrichment has often </w:t>
      </w:r>
      <w:r>
        <w:rPr>
          <w:rFonts w:ascii="Times New Roman" w:hAnsi="Times New Roman" w:cs="Times New Roman"/>
          <w:sz w:val="24"/>
          <w:szCs w:val="24"/>
        </w:rPr>
        <w:t>surfaced</w:t>
      </w:r>
      <w:r w:rsidR="00645046">
        <w:rPr>
          <w:rFonts w:ascii="Times New Roman" w:hAnsi="Times New Roman" w:cs="Times New Roman"/>
          <w:sz w:val="24"/>
          <w:szCs w:val="24"/>
        </w:rPr>
        <w:t xml:space="preserve"> as a background concept in Scots law.  </w:t>
      </w:r>
      <w:r w:rsidR="003A747B" w:rsidRPr="003A747B">
        <w:rPr>
          <w:rFonts w:ascii="Times New Roman" w:hAnsi="Times New Roman" w:cs="Times New Roman"/>
          <w:sz w:val="24"/>
          <w:szCs w:val="24"/>
        </w:rPr>
        <w:t>In</w:t>
      </w:r>
      <w:r w:rsidR="003A747B">
        <w:rPr>
          <w:rFonts w:ascii="Times New Roman" w:hAnsi="Times New Roman" w:cs="Times New Roman"/>
          <w:i/>
          <w:sz w:val="24"/>
          <w:szCs w:val="24"/>
        </w:rPr>
        <w:t xml:space="preserve"> </w:t>
      </w:r>
      <w:r w:rsidR="003A747B" w:rsidRPr="003A747B">
        <w:rPr>
          <w:rFonts w:ascii="Times New Roman" w:hAnsi="Times New Roman" w:cs="Times New Roman"/>
          <w:sz w:val="24"/>
          <w:szCs w:val="24"/>
        </w:rPr>
        <w:t>1995</w:t>
      </w:r>
      <w:r>
        <w:rPr>
          <w:rFonts w:ascii="Times New Roman" w:hAnsi="Times New Roman" w:cs="Times New Roman"/>
          <w:sz w:val="24"/>
          <w:szCs w:val="24"/>
        </w:rPr>
        <w:t>,</w:t>
      </w:r>
      <w:r w:rsidR="003A747B">
        <w:rPr>
          <w:rFonts w:ascii="Times New Roman" w:hAnsi="Times New Roman" w:cs="Times New Roman"/>
          <w:sz w:val="24"/>
          <w:szCs w:val="24"/>
        </w:rPr>
        <w:t xml:space="preserve"> </w:t>
      </w:r>
      <w:r w:rsidR="00186C5A">
        <w:rPr>
          <w:rFonts w:ascii="Times New Roman" w:hAnsi="Times New Roman" w:cs="Times New Roman"/>
          <w:sz w:val="24"/>
          <w:szCs w:val="24"/>
        </w:rPr>
        <w:t xml:space="preserve">in a decision in which </w:t>
      </w:r>
      <w:r w:rsidR="00186C5A" w:rsidRPr="00186C5A">
        <w:rPr>
          <w:rFonts w:ascii="Times New Roman" w:hAnsi="Times New Roman" w:cs="Times New Roman"/>
          <w:sz w:val="24"/>
          <w:szCs w:val="24"/>
        </w:rPr>
        <w:t>the leading judgment was given by Lord Hope</w:t>
      </w:r>
      <w:r w:rsidR="00186C5A">
        <w:rPr>
          <w:rFonts w:ascii="Times New Roman" w:hAnsi="Times New Roman" w:cs="Times New Roman"/>
          <w:sz w:val="24"/>
          <w:szCs w:val="24"/>
        </w:rPr>
        <w:t>,</w:t>
      </w:r>
      <w:r w:rsidR="00186C5A" w:rsidRPr="00186C5A">
        <w:rPr>
          <w:rFonts w:ascii="Times New Roman" w:hAnsi="Times New Roman" w:cs="Times New Roman"/>
          <w:sz w:val="24"/>
          <w:szCs w:val="24"/>
        </w:rPr>
        <w:t xml:space="preserve"> </w:t>
      </w:r>
      <w:r w:rsidRPr="00F0600C">
        <w:rPr>
          <w:rFonts w:ascii="Times New Roman" w:hAnsi="Times New Roman" w:cs="Times New Roman"/>
          <w:sz w:val="24"/>
          <w:szCs w:val="24"/>
        </w:rPr>
        <w:t xml:space="preserve">in </w:t>
      </w:r>
      <w:r w:rsidRPr="00F0600C">
        <w:rPr>
          <w:rFonts w:ascii="Times New Roman" w:hAnsi="Times New Roman" w:cs="Times New Roman"/>
          <w:i/>
          <w:sz w:val="24"/>
          <w:szCs w:val="24"/>
        </w:rPr>
        <w:t>Morgan Guaranty</w:t>
      </w:r>
      <w:r>
        <w:rPr>
          <w:rFonts w:ascii="Times New Roman" w:hAnsi="Times New Roman" w:cs="Times New Roman"/>
          <w:sz w:val="24"/>
          <w:szCs w:val="24"/>
        </w:rPr>
        <w:t xml:space="preserve"> </w:t>
      </w:r>
      <w:r w:rsidRPr="00F0600C">
        <w:rPr>
          <w:rFonts w:ascii="Times New Roman" w:hAnsi="Times New Roman" w:cs="Times New Roman"/>
          <w:sz w:val="24"/>
          <w:szCs w:val="24"/>
        </w:rPr>
        <w:t xml:space="preserve">the Court of Session </w:t>
      </w:r>
      <w:r w:rsidR="00645046">
        <w:rPr>
          <w:rFonts w:ascii="Times New Roman" w:hAnsi="Times New Roman" w:cs="Times New Roman"/>
          <w:sz w:val="24"/>
          <w:szCs w:val="24"/>
        </w:rPr>
        <w:t xml:space="preserve">elevated </w:t>
      </w:r>
      <w:r>
        <w:rPr>
          <w:rFonts w:ascii="Times New Roman" w:hAnsi="Times New Roman" w:cs="Times New Roman"/>
          <w:sz w:val="24"/>
          <w:szCs w:val="24"/>
        </w:rPr>
        <w:t xml:space="preserve">it </w:t>
      </w:r>
      <w:r w:rsidR="00645046">
        <w:rPr>
          <w:rFonts w:ascii="Times New Roman" w:hAnsi="Times New Roman" w:cs="Times New Roman"/>
          <w:sz w:val="24"/>
          <w:szCs w:val="24"/>
        </w:rPr>
        <w:t>to a level with contract and delict as an independent source of obligations.</w:t>
      </w:r>
      <w:r w:rsidR="00A36192" w:rsidRPr="003A747B">
        <w:rPr>
          <w:rFonts w:ascii="Times New Roman" w:hAnsi="Times New Roman" w:cs="Times New Roman"/>
          <w:sz w:val="24"/>
          <w:szCs w:val="24"/>
        </w:rPr>
        <w:t xml:space="preserve"> </w:t>
      </w:r>
      <w:r w:rsidR="003A747B">
        <w:rPr>
          <w:rFonts w:ascii="Times New Roman" w:hAnsi="Times New Roman" w:cs="Times New Roman"/>
          <w:sz w:val="24"/>
          <w:szCs w:val="24"/>
        </w:rPr>
        <w:t xml:space="preserve">The subject </w:t>
      </w:r>
      <w:r w:rsidR="005B3BDD" w:rsidRPr="003A747B">
        <w:rPr>
          <w:rFonts w:ascii="Times New Roman" w:hAnsi="Times New Roman" w:cs="Times New Roman"/>
          <w:sz w:val="24"/>
          <w:szCs w:val="24"/>
        </w:rPr>
        <w:t>has long been recognised</w:t>
      </w:r>
      <w:r w:rsidR="005B3BDD" w:rsidRPr="003A747B">
        <w:rPr>
          <w:rFonts w:ascii="Times New Roman" w:hAnsi="Times New Roman" w:cs="Times New Roman"/>
          <w:sz w:val="24"/>
          <w:szCs w:val="24"/>
          <w:vertAlign w:val="superscript"/>
        </w:rPr>
        <w:t xml:space="preserve"> </w:t>
      </w:r>
      <w:r w:rsidR="00645046">
        <w:rPr>
          <w:rFonts w:ascii="Times New Roman" w:hAnsi="Times New Roman" w:cs="Times New Roman"/>
          <w:sz w:val="24"/>
          <w:szCs w:val="24"/>
        </w:rPr>
        <w:t xml:space="preserve">at this level </w:t>
      </w:r>
      <w:r w:rsidR="005B3BDD" w:rsidRPr="003A747B">
        <w:rPr>
          <w:rFonts w:ascii="Times New Roman" w:hAnsi="Times New Roman" w:cs="Times New Roman"/>
          <w:sz w:val="24"/>
          <w:szCs w:val="24"/>
        </w:rPr>
        <w:t>by contemporary</w:t>
      </w:r>
      <w:r w:rsidR="005B3BDD" w:rsidRPr="003A747B">
        <w:rPr>
          <w:rFonts w:ascii="Times New Roman" w:hAnsi="Times New Roman" w:cs="Times New Roman"/>
          <w:sz w:val="24"/>
          <w:szCs w:val="24"/>
          <w:vertAlign w:val="superscript"/>
        </w:rPr>
        <w:t xml:space="preserve"> </w:t>
      </w:r>
      <w:r w:rsidR="005B3BDD" w:rsidRPr="003A747B">
        <w:rPr>
          <w:rFonts w:ascii="Times New Roman" w:hAnsi="Times New Roman" w:cs="Times New Roman"/>
          <w:sz w:val="24"/>
          <w:szCs w:val="24"/>
        </w:rPr>
        <w:t>civilian legal systems so, g</w:t>
      </w:r>
      <w:r w:rsidR="00A36192" w:rsidRPr="003A747B">
        <w:rPr>
          <w:rFonts w:ascii="Times New Roman" w:hAnsi="Times New Roman" w:cs="Times New Roman"/>
          <w:sz w:val="24"/>
          <w:szCs w:val="24"/>
        </w:rPr>
        <w:t xml:space="preserve">iven </w:t>
      </w:r>
      <w:r w:rsidR="006D3EA1" w:rsidRPr="003A747B">
        <w:rPr>
          <w:rFonts w:ascii="Times New Roman" w:hAnsi="Times New Roman" w:cs="Times New Roman"/>
          <w:sz w:val="24"/>
          <w:szCs w:val="24"/>
        </w:rPr>
        <w:t xml:space="preserve">the </w:t>
      </w:r>
      <w:r w:rsidR="00A36192" w:rsidRPr="003A747B">
        <w:rPr>
          <w:rFonts w:ascii="Times New Roman" w:hAnsi="Times New Roman" w:cs="Times New Roman"/>
          <w:sz w:val="24"/>
          <w:szCs w:val="24"/>
        </w:rPr>
        <w:t xml:space="preserve">civilian provenance </w:t>
      </w:r>
      <w:r w:rsidR="006D3EA1" w:rsidRPr="003A747B">
        <w:rPr>
          <w:rFonts w:ascii="Times New Roman" w:hAnsi="Times New Roman" w:cs="Times New Roman"/>
          <w:sz w:val="24"/>
          <w:szCs w:val="24"/>
        </w:rPr>
        <w:t xml:space="preserve">of </w:t>
      </w:r>
      <w:r w:rsidR="005B3BDD" w:rsidRPr="003A747B">
        <w:rPr>
          <w:rFonts w:ascii="Times New Roman" w:hAnsi="Times New Roman" w:cs="Times New Roman"/>
          <w:sz w:val="24"/>
          <w:szCs w:val="24"/>
        </w:rPr>
        <w:t xml:space="preserve">this part of Scots law, </w:t>
      </w:r>
      <w:r w:rsidR="00186C5A">
        <w:rPr>
          <w:rFonts w:ascii="Times New Roman" w:hAnsi="Times New Roman" w:cs="Times New Roman"/>
          <w:sz w:val="24"/>
          <w:szCs w:val="24"/>
        </w:rPr>
        <w:t>why the</w:t>
      </w:r>
      <w:r w:rsidR="00A36192" w:rsidRPr="003A747B">
        <w:rPr>
          <w:rFonts w:ascii="Times New Roman" w:hAnsi="Times New Roman" w:cs="Times New Roman"/>
          <w:sz w:val="24"/>
          <w:szCs w:val="24"/>
        </w:rPr>
        <w:t xml:space="preserve"> </w:t>
      </w:r>
      <w:r>
        <w:rPr>
          <w:rFonts w:ascii="Times New Roman" w:hAnsi="Times New Roman" w:cs="Times New Roman"/>
          <w:sz w:val="24"/>
          <w:szCs w:val="24"/>
        </w:rPr>
        <w:t xml:space="preserve">same </w:t>
      </w:r>
      <w:r w:rsidR="00A36192" w:rsidRPr="003A747B">
        <w:rPr>
          <w:rFonts w:ascii="Times New Roman" w:hAnsi="Times New Roman" w:cs="Times New Roman"/>
          <w:sz w:val="24"/>
          <w:szCs w:val="24"/>
        </w:rPr>
        <w:t>recognition</w:t>
      </w:r>
      <w:r w:rsidR="006D3EA1" w:rsidRPr="003A747B">
        <w:rPr>
          <w:rFonts w:ascii="Times New Roman" w:hAnsi="Times New Roman" w:cs="Times New Roman"/>
          <w:sz w:val="24"/>
          <w:szCs w:val="24"/>
        </w:rPr>
        <w:t xml:space="preserve"> </w:t>
      </w:r>
      <w:r w:rsidR="00A44C15" w:rsidRPr="003A747B">
        <w:rPr>
          <w:rFonts w:ascii="Times New Roman" w:hAnsi="Times New Roman" w:cs="Times New Roman"/>
          <w:sz w:val="24"/>
          <w:szCs w:val="24"/>
        </w:rPr>
        <w:t xml:space="preserve">in Scotland </w:t>
      </w:r>
      <w:r w:rsidR="005B3BDD" w:rsidRPr="003A747B">
        <w:rPr>
          <w:rFonts w:ascii="Times New Roman" w:hAnsi="Times New Roman" w:cs="Times New Roman"/>
          <w:sz w:val="24"/>
          <w:szCs w:val="24"/>
        </w:rPr>
        <w:t xml:space="preserve">came </w:t>
      </w:r>
      <w:r w:rsidR="00A36192" w:rsidRPr="003A747B">
        <w:rPr>
          <w:rFonts w:ascii="Times New Roman" w:hAnsi="Times New Roman" w:cs="Times New Roman"/>
          <w:sz w:val="24"/>
          <w:szCs w:val="24"/>
        </w:rPr>
        <w:t xml:space="preserve">so late </w:t>
      </w:r>
      <w:r w:rsidR="003C2324" w:rsidRPr="003A747B">
        <w:rPr>
          <w:rFonts w:ascii="Times New Roman" w:hAnsi="Times New Roman" w:cs="Times New Roman"/>
          <w:sz w:val="24"/>
          <w:szCs w:val="24"/>
        </w:rPr>
        <w:t>needs to be explained.</w:t>
      </w:r>
      <w:r w:rsidR="003A747B">
        <w:rPr>
          <w:rFonts w:ascii="Times New Roman" w:hAnsi="Times New Roman" w:cs="Times New Roman"/>
          <w:sz w:val="24"/>
          <w:szCs w:val="24"/>
        </w:rPr>
        <w:t xml:space="preserve"> </w:t>
      </w:r>
      <w:r w:rsidR="00B9134F" w:rsidRPr="003A747B">
        <w:rPr>
          <w:rFonts w:ascii="Times New Roman" w:hAnsi="Times New Roman" w:cs="Times New Roman"/>
          <w:sz w:val="24"/>
          <w:szCs w:val="24"/>
        </w:rPr>
        <w:t xml:space="preserve">The major delaying factor </w:t>
      </w:r>
      <w:r w:rsidR="00186C5A">
        <w:rPr>
          <w:rFonts w:ascii="Times New Roman" w:hAnsi="Times New Roman" w:cs="Times New Roman"/>
          <w:sz w:val="24"/>
          <w:szCs w:val="24"/>
        </w:rPr>
        <w:t xml:space="preserve">was </w:t>
      </w:r>
      <w:r w:rsidR="00B9134F" w:rsidRPr="003A747B">
        <w:rPr>
          <w:rFonts w:ascii="Times New Roman" w:hAnsi="Times New Roman" w:cs="Times New Roman"/>
          <w:sz w:val="24"/>
          <w:szCs w:val="24"/>
        </w:rPr>
        <w:t>the influence of the writings of the Scottish institutional writer, Stair (1681)</w:t>
      </w:r>
      <w:r w:rsidR="00B9134F" w:rsidRPr="00A21D86">
        <w:rPr>
          <w:rFonts w:ascii="Times New Roman" w:hAnsi="Times New Roman" w:cs="Times New Roman"/>
          <w:b/>
          <w:sz w:val="24"/>
          <w:szCs w:val="24"/>
        </w:rPr>
        <w:t>.</w:t>
      </w:r>
      <w:bookmarkStart w:id="6" w:name="_Ref525825306"/>
      <w:r w:rsidR="00B9134F" w:rsidRPr="00E21ABD">
        <w:rPr>
          <w:b/>
          <w:vertAlign w:val="superscript"/>
        </w:rPr>
        <w:footnoteReference w:id="11"/>
      </w:r>
      <w:bookmarkEnd w:id="6"/>
      <w:r w:rsidR="00B9134F" w:rsidRPr="00A21D86">
        <w:rPr>
          <w:rFonts w:ascii="Times New Roman" w:hAnsi="Times New Roman" w:cs="Times New Roman"/>
          <w:sz w:val="24"/>
          <w:szCs w:val="24"/>
        </w:rPr>
        <w:t xml:space="preserve"> His natural law scheme of obligations drew, partly at least, from a theological tradition according to which obligations are ‘conventional’ (contract) or ‘obediential’ (owed to God). Stair, like Roman law, did not conceive of a body of law called unjustified enrichment. The </w:t>
      </w:r>
      <w:r>
        <w:rPr>
          <w:rFonts w:ascii="Times New Roman" w:hAnsi="Times New Roman" w:cs="Times New Roman"/>
          <w:sz w:val="24"/>
          <w:szCs w:val="24"/>
        </w:rPr>
        <w:t xml:space="preserve">causes of action </w:t>
      </w:r>
      <w:r w:rsidR="00B9134F" w:rsidRPr="00A21D86">
        <w:rPr>
          <w:rFonts w:ascii="Times New Roman" w:hAnsi="Times New Roman" w:cs="Times New Roman"/>
          <w:sz w:val="24"/>
          <w:szCs w:val="24"/>
        </w:rPr>
        <w:t xml:space="preserve">that now </w:t>
      </w:r>
      <w:r>
        <w:rPr>
          <w:rFonts w:ascii="Times New Roman" w:hAnsi="Times New Roman" w:cs="Times New Roman"/>
          <w:sz w:val="24"/>
          <w:szCs w:val="24"/>
        </w:rPr>
        <w:t xml:space="preserve">make up </w:t>
      </w:r>
      <w:r w:rsidR="00B9134F" w:rsidRPr="00A21D86">
        <w:rPr>
          <w:rFonts w:ascii="Times New Roman" w:hAnsi="Times New Roman" w:cs="Times New Roman"/>
          <w:sz w:val="24"/>
          <w:szCs w:val="24"/>
        </w:rPr>
        <w:t xml:space="preserve">the contemporary </w:t>
      </w:r>
      <w:r w:rsidR="00186C5A">
        <w:rPr>
          <w:rFonts w:ascii="Times New Roman" w:hAnsi="Times New Roman" w:cs="Times New Roman"/>
          <w:sz w:val="24"/>
          <w:szCs w:val="24"/>
        </w:rPr>
        <w:t xml:space="preserve">Scots </w:t>
      </w:r>
      <w:r>
        <w:rPr>
          <w:rFonts w:ascii="Times New Roman" w:hAnsi="Times New Roman" w:cs="Times New Roman"/>
          <w:sz w:val="24"/>
          <w:szCs w:val="24"/>
        </w:rPr>
        <w:t>law of unjustified enrichment are</w:t>
      </w:r>
      <w:r w:rsidR="00B9134F" w:rsidRPr="00A21D86">
        <w:rPr>
          <w:rFonts w:ascii="Times New Roman" w:hAnsi="Times New Roman" w:cs="Times New Roman"/>
          <w:sz w:val="24"/>
          <w:szCs w:val="24"/>
        </w:rPr>
        <w:t xml:space="preserve"> scattered within his titles on ‘restitution’ and ‘recompence’ which are sub-divisions of ‘obediential’ obligations formed, in line with the theological teaching, according to the content of the response, whether restitution, recompence (or reparation).</w:t>
      </w:r>
      <w:r w:rsidR="007C708D" w:rsidRPr="007C708D">
        <w:rPr>
          <w:rStyle w:val="FootnoteReference"/>
          <w:rFonts w:ascii="Times New Roman" w:hAnsi="Times New Roman" w:cs="Times New Roman"/>
          <w:sz w:val="24"/>
          <w:szCs w:val="24"/>
        </w:rPr>
        <w:t xml:space="preserve"> </w:t>
      </w:r>
      <w:r w:rsidR="007C708D">
        <w:rPr>
          <w:rStyle w:val="FootnoteReference"/>
          <w:rFonts w:ascii="Times New Roman" w:hAnsi="Times New Roman" w:cs="Times New Roman"/>
          <w:sz w:val="24"/>
          <w:szCs w:val="24"/>
        </w:rPr>
        <w:footnoteReference w:id="12"/>
      </w:r>
      <w:r w:rsidR="00B9134F" w:rsidRPr="00A21D86">
        <w:rPr>
          <w:rFonts w:ascii="Times New Roman" w:hAnsi="Times New Roman" w:cs="Times New Roman"/>
          <w:sz w:val="24"/>
          <w:szCs w:val="24"/>
        </w:rPr>
        <w:t xml:space="preserve"> However, Stair’s classifications were not fully accepted or understood by those who immediately followed him and the </w:t>
      </w:r>
      <w:r w:rsidR="00B9134F" w:rsidRPr="00A21D86">
        <w:rPr>
          <w:rFonts w:ascii="Times New Roman" w:hAnsi="Times New Roman" w:cs="Times New Roman"/>
          <w:sz w:val="24"/>
          <w:szCs w:val="24"/>
        </w:rPr>
        <w:lastRenderedPageBreak/>
        <w:t>Roman law scheme of obligations sourced in contract, quasi contract, delict and quasi delict re-asserted itself over time. The Roman scheme did not wholly supplant that of Stair. What resulted over time was a mix of the two. The result was a number of serious confusions which Peter Birks was the first to understand and bring to the attention of the Scottish legal community.</w:t>
      </w:r>
      <w:r w:rsidR="008E3789" w:rsidRPr="00A21D86">
        <w:rPr>
          <w:rFonts w:ascii="Times New Roman" w:hAnsi="Times New Roman" w:cs="Times New Roman"/>
          <w:sz w:val="24"/>
          <w:szCs w:val="24"/>
        </w:rPr>
        <w:t xml:space="preserve"> </w:t>
      </w:r>
      <w:r w:rsidR="00186C5A" w:rsidRPr="00186C5A">
        <w:rPr>
          <w:rFonts w:ascii="Times New Roman" w:hAnsi="Times New Roman" w:cs="Times New Roman"/>
          <w:i/>
          <w:sz w:val="24"/>
          <w:szCs w:val="24"/>
        </w:rPr>
        <w:t>Morgan Guaranty</w:t>
      </w:r>
      <w:r w:rsidR="007C708D">
        <w:rPr>
          <w:rStyle w:val="FootnoteReference"/>
          <w:rFonts w:ascii="Times New Roman" w:hAnsi="Times New Roman" w:cs="Times New Roman"/>
          <w:i/>
          <w:sz w:val="24"/>
          <w:szCs w:val="24"/>
        </w:rPr>
        <w:footnoteReference w:id="13"/>
      </w:r>
      <w:r w:rsidR="00186C5A">
        <w:rPr>
          <w:rFonts w:ascii="Times New Roman" w:hAnsi="Times New Roman" w:cs="Times New Roman"/>
          <w:sz w:val="24"/>
          <w:szCs w:val="24"/>
        </w:rPr>
        <w:t xml:space="preserve"> </w:t>
      </w:r>
      <w:r w:rsidR="00B66AF3">
        <w:rPr>
          <w:rFonts w:ascii="Times New Roman" w:hAnsi="Times New Roman" w:cs="Times New Roman"/>
          <w:sz w:val="24"/>
          <w:szCs w:val="24"/>
        </w:rPr>
        <w:t>drew limits on the influence of Stair by its recognition of unjustified enrichment</w:t>
      </w:r>
      <w:r w:rsidR="00F32413">
        <w:rPr>
          <w:rFonts w:ascii="Times New Roman" w:hAnsi="Times New Roman" w:cs="Times New Roman"/>
          <w:sz w:val="24"/>
          <w:szCs w:val="24"/>
        </w:rPr>
        <w:t xml:space="preserve"> as a distinct s</w:t>
      </w:r>
      <w:r w:rsidR="00B077B4">
        <w:rPr>
          <w:rFonts w:ascii="Times New Roman" w:hAnsi="Times New Roman" w:cs="Times New Roman"/>
          <w:sz w:val="24"/>
          <w:szCs w:val="24"/>
        </w:rPr>
        <w:t>ource of obligations governed by four principles.</w:t>
      </w:r>
      <w:r w:rsidR="00DF0805" w:rsidRPr="00DF0805">
        <w:rPr>
          <w:rFonts w:ascii="Times New Roman" w:hAnsi="Times New Roman" w:cs="Times New Roman"/>
          <w:sz w:val="24"/>
          <w:szCs w:val="24"/>
        </w:rPr>
        <w:t xml:space="preserve"> </w:t>
      </w:r>
      <w:r w:rsidR="0062423A">
        <w:rPr>
          <w:rFonts w:ascii="Times New Roman" w:hAnsi="Times New Roman" w:cs="Times New Roman"/>
          <w:sz w:val="24"/>
          <w:szCs w:val="24"/>
        </w:rPr>
        <w:t xml:space="preserve">In </w:t>
      </w:r>
      <w:r w:rsidR="0062423A" w:rsidRPr="0062423A">
        <w:rPr>
          <w:rFonts w:ascii="Times New Roman" w:hAnsi="Times New Roman" w:cs="Times New Roman"/>
          <w:i/>
          <w:sz w:val="24"/>
          <w:szCs w:val="24"/>
        </w:rPr>
        <w:t>Dollar Land</w:t>
      </w:r>
      <w:r w:rsidR="0062423A">
        <w:rPr>
          <w:rFonts w:ascii="Times New Roman" w:hAnsi="Times New Roman" w:cs="Times New Roman"/>
          <w:sz w:val="24"/>
          <w:szCs w:val="24"/>
        </w:rPr>
        <w:t xml:space="preserve"> </w:t>
      </w:r>
      <w:r w:rsidR="00DF0805" w:rsidRPr="00DF0805">
        <w:rPr>
          <w:rFonts w:ascii="Times New Roman" w:hAnsi="Times New Roman" w:cs="Times New Roman"/>
          <w:sz w:val="24"/>
          <w:szCs w:val="24"/>
        </w:rPr>
        <w:t>Lord Hope enumerated th</w:t>
      </w:r>
      <w:r w:rsidR="00DF0805">
        <w:rPr>
          <w:rFonts w:ascii="Times New Roman" w:hAnsi="Times New Roman" w:cs="Times New Roman"/>
          <w:sz w:val="24"/>
          <w:szCs w:val="24"/>
        </w:rPr>
        <w:t>e principles</w:t>
      </w:r>
      <w:r w:rsidR="00DF0805" w:rsidRPr="00DF0805">
        <w:rPr>
          <w:rFonts w:ascii="Times New Roman" w:hAnsi="Times New Roman" w:cs="Times New Roman"/>
          <w:sz w:val="24"/>
          <w:szCs w:val="24"/>
        </w:rPr>
        <w:t xml:space="preserve"> in the following terms:</w:t>
      </w:r>
      <w:r w:rsidR="00DF0805" w:rsidRPr="00DF0805">
        <w:rPr>
          <w:rFonts w:ascii="Times New Roman" w:hAnsi="Times New Roman" w:cs="Times New Roman"/>
          <w:sz w:val="24"/>
          <w:szCs w:val="24"/>
          <w:vertAlign w:val="superscript"/>
        </w:rPr>
        <w:footnoteReference w:id="14"/>
      </w:r>
    </w:p>
    <w:p w14:paraId="3921F967" w14:textId="77777777" w:rsidR="00DF0805" w:rsidRPr="00DF0805" w:rsidRDefault="00DF0805" w:rsidP="00DF0805">
      <w:pPr>
        <w:spacing w:after="0" w:line="240" w:lineRule="auto"/>
        <w:ind w:left="284"/>
        <w:jc w:val="both"/>
        <w:rPr>
          <w:rFonts w:ascii="Times New Roman" w:hAnsi="Times New Roman" w:cs="Times New Roman"/>
          <w:sz w:val="24"/>
          <w:szCs w:val="24"/>
        </w:rPr>
      </w:pPr>
      <w:r w:rsidRPr="00DF0805">
        <w:rPr>
          <w:rFonts w:ascii="Times New Roman" w:hAnsi="Times New Roman" w:cs="Times New Roman"/>
          <w:sz w:val="24"/>
          <w:szCs w:val="24"/>
        </w:rPr>
        <w:t>the pursuers must show that the defenders have been enriched at their expense, that there is no legal justification for the enrichment and that it would be equitable to compel the defenders to redress the enrichment.</w:t>
      </w:r>
    </w:p>
    <w:p w14:paraId="6769B351" w14:textId="77777777" w:rsidR="00DF0805" w:rsidRPr="00DF0805" w:rsidRDefault="00DF0805" w:rsidP="00DF0805">
      <w:pPr>
        <w:spacing w:after="0" w:line="360" w:lineRule="auto"/>
        <w:jc w:val="both"/>
        <w:rPr>
          <w:rFonts w:ascii="Times New Roman" w:hAnsi="Times New Roman" w:cs="Times New Roman"/>
          <w:b/>
          <w:sz w:val="24"/>
          <w:szCs w:val="24"/>
        </w:rPr>
      </w:pPr>
    </w:p>
    <w:p w14:paraId="5D110E87" w14:textId="77777777" w:rsidR="00D24A64" w:rsidRPr="004E5669" w:rsidRDefault="00DF0805" w:rsidP="00DF08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the level at which Lord Hope states them these</w:t>
      </w:r>
      <w:r w:rsidRPr="00DF0805">
        <w:rPr>
          <w:rFonts w:ascii="Times New Roman" w:hAnsi="Times New Roman" w:cs="Times New Roman"/>
          <w:sz w:val="24"/>
          <w:szCs w:val="24"/>
        </w:rPr>
        <w:t xml:space="preserve"> are “general” </w:t>
      </w:r>
      <w:r>
        <w:rPr>
          <w:rFonts w:ascii="Times New Roman" w:hAnsi="Times New Roman" w:cs="Times New Roman"/>
          <w:sz w:val="24"/>
          <w:szCs w:val="24"/>
        </w:rPr>
        <w:t xml:space="preserve">principles </w:t>
      </w:r>
      <w:r w:rsidRPr="00DF0805">
        <w:rPr>
          <w:rFonts w:ascii="Times New Roman" w:hAnsi="Times New Roman" w:cs="Times New Roman"/>
          <w:sz w:val="24"/>
          <w:szCs w:val="24"/>
        </w:rPr>
        <w:t xml:space="preserve">in the sense that they must all be satisfied, </w:t>
      </w:r>
      <w:r w:rsidRPr="00DF0805">
        <w:rPr>
          <w:rFonts w:ascii="Times New Roman" w:hAnsi="Times New Roman" w:cs="Times New Roman"/>
          <w:i/>
          <w:sz w:val="24"/>
          <w:szCs w:val="24"/>
        </w:rPr>
        <w:t>ex facie</w:t>
      </w:r>
      <w:r w:rsidRPr="00DF0805">
        <w:rPr>
          <w:rFonts w:ascii="Times New Roman" w:hAnsi="Times New Roman" w:cs="Times New Roman"/>
          <w:sz w:val="24"/>
          <w:szCs w:val="24"/>
        </w:rPr>
        <w:t>, in a uniform manner, to found a successful claim.</w:t>
      </w:r>
      <w:r w:rsidR="001F1742">
        <w:rPr>
          <w:rFonts w:ascii="Times New Roman" w:hAnsi="Times New Roman" w:cs="Times New Roman"/>
          <w:sz w:val="24"/>
          <w:szCs w:val="24"/>
        </w:rPr>
        <w:t xml:space="preserve"> </w:t>
      </w:r>
      <w:r w:rsidR="00F0600C">
        <w:rPr>
          <w:rFonts w:ascii="Times New Roman" w:hAnsi="Times New Roman" w:cs="Times New Roman"/>
          <w:sz w:val="24"/>
          <w:szCs w:val="24"/>
        </w:rPr>
        <w:t xml:space="preserve">It remains unclear how </w:t>
      </w:r>
      <w:r w:rsidR="009453EC">
        <w:rPr>
          <w:rFonts w:ascii="Times New Roman" w:hAnsi="Times New Roman" w:cs="Times New Roman"/>
          <w:sz w:val="24"/>
          <w:szCs w:val="24"/>
        </w:rPr>
        <w:t xml:space="preserve">the </w:t>
      </w:r>
      <w:r w:rsidR="0062423A">
        <w:rPr>
          <w:rFonts w:ascii="Times New Roman" w:hAnsi="Times New Roman" w:cs="Times New Roman"/>
          <w:sz w:val="24"/>
          <w:szCs w:val="24"/>
        </w:rPr>
        <w:t xml:space="preserve">(new) </w:t>
      </w:r>
      <w:r w:rsidR="009453EC">
        <w:rPr>
          <w:rFonts w:ascii="Times New Roman" w:hAnsi="Times New Roman" w:cs="Times New Roman"/>
          <w:sz w:val="24"/>
          <w:szCs w:val="24"/>
        </w:rPr>
        <w:t xml:space="preserve">“general” principles </w:t>
      </w:r>
      <w:r w:rsidR="00F0600C">
        <w:rPr>
          <w:rFonts w:ascii="Times New Roman" w:hAnsi="Times New Roman" w:cs="Times New Roman"/>
          <w:sz w:val="24"/>
          <w:szCs w:val="24"/>
        </w:rPr>
        <w:t>cohere with</w:t>
      </w:r>
      <w:r w:rsidR="009453EC">
        <w:rPr>
          <w:rFonts w:ascii="Times New Roman" w:hAnsi="Times New Roman" w:cs="Times New Roman"/>
          <w:sz w:val="24"/>
          <w:szCs w:val="24"/>
        </w:rPr>
        <w:t xml:space="preserve"> the</w:t>
      </w:r>
      <w:r w:rsidR="00532778">
        <w:rPr>
          <w:rFonts w:ascii="Times New Roman" w:hAnsi="Times New Roman" w:cs="Times New Roman"/>
          <w:sz w:val="24"/>
          <w:szCs w:val="24"/>
        </w:rPr>
        <w:t xml:space="preserve"> </w:t>
      </w:r>
      <w:r w:rsidR="00094B74">
        <w:rPr>
          <w:rFonts w:ascii="Times New Roman" w:hAnsi="Times New Roman" w:cs="Times New Roman"/>
          <w:sz w:val="24"/>
          <w:szCs w:val="24"/>
        </w:rPr>
        <w:t>established causes of action</w:t>
      </w:r>
      <w:r w:rsidR="00225D60">
        <w:rPr>
          <w:rFonts w:ascii="Times New Roman" w:hAnsi="Times New Roman" w:cs="Times New Roman"/>
          <w:sz w:val="24"/>
          <w:szCs w:val="24"/>
        </w:rPr>
        <w:t xml:space="preserve"> </w:t>
      </w:r>
      <w:r w:rsidR="00F0600C">
        <w:rPr>
          <w:rFonts w:ascii="Times New Roman" w:hAnsi="Times New Roman" w:cs="Times New Roman"/>
          <w:sz w:val="24"/>
          <w:szCs w:val="24"/>
        </w:rPr>
        <w:t xml:space="preserve">like, for example, </w:t>
      </w:r>
      <w:r w:rsidR="00F0600C" w:rsidRPr="00F0600C">
        <w:rPr>
          <w:rFonts w:ascii="Times New Roman" w:hAnsi="Times New Roman" w:cs="Times New Roman"/>
          <w:i/>
          <w:sz w:val="24"/>
          <w:szCs w:val="24"/>
        </w:rPr>
        <w:t>condictio indebiti</w:t>
      </w:r>
      <w:r w:rsidR="00F0600C">
        <w:rPr>
          <w:rFonts w:ascii="Times New Roman" w:hAnsi="Times New Roman" w:cs="Times New Roman"/>
          <w:sz w:val="24"/>
          <w:szCs w:val="24"/>
        </w:rPr>
        <w:t xml:space="preserve"> that</w:t>
      </w:r>
      <w:r w:rsidR="0062423A">
        <w:rPr>
          <w:rFonts w:ascii="Times New Roman" w:hAnsi="Times New Roman" w:cs="Times New Roman"/>
          <w:sz w:val="24"/>
          <w:szCs w:val="24"/>
        </w:rPr>
        <w:t xml:space="preserve"> originated in Roman law when no such over-riding principles existed.</w:t>
      </w:r>
      <w:r w:rsidR="00F0600C">
        <w:rPr>
          <w:rFonts w:ascii="Times New Roman" w:hAnsi="Times New Roman" w:cs="Times New Roman"/>
          <w:sz w:val="24"/>
          <w:szCs w:val="24"/>
        </w:rPr>
        <w:t xml:space="preserve"> </w:t>
      </w:r>
      <w:r w:rsidR="0062423A">
        <w:rPr>
          <w:rFonts w:ascii="Times New Roman" w:hAnsi="Times New Roman" w:cs="Times New Roman"/>
          <w:sz w:val="24"/>
          <w:szCs w:val="24"/>
        </w:rPr>
        <w:t xml:space="preserve">Should we </w:t>
      </w:r>
      <w:r w:rsidR="001C69F0">
        <w:rPr>
          <w:rFonts w:ascii="Times New Roman" w:hAnsi="Times New Roman" w:cs="Times New Roman"/>
          <w:sz w:val="24"/>
          <w:szCs w:val="24"/>
        </w:rPr>
        <w:t xml:space="preserve">now </w:t>
      </w:r>
      <w:r w:rsidR="0062423A">
        <w:rPr>
          <w:rFonts w:ascii="Times New Roman" w:hAnsi="Times New Roman" w:cs="Times New Roman"/>
          <w:sz w:val="24"/>
          <w:szCs w:val="24"/>
        </w:rPr>
        <w:t xml:space="preserve">view </w:t>
      </w:r>
      <w:r w:rsidR="009453EC">
        <w:rPr>
          <w:rFonts w:ascii="Times New Roman" w:hAnsi="Times New Roman" w:cs="Times New Roman"/>
          <w:sz w:val="24"/>
          <w:szCs w:val="24"/>
        </w:rPr>
        <w:t xml:space="preserve">the </w:t>
      </w:r>
      <w:r w:rsidR="00094B74">
        <w:rPr>
          <w:rFonts w:ascii="Times New Roman" w:hAnsi="Times New Roman" w:cs="Times New Roman"/>
          <w:sz w:val="24"/>
          <w:szCs w:val="24"/>
        </w:rPr>
        <w:t>established causes of action</w:t>
      </w:r>
      <w:r w:rsidR="009453EC">
        <w:rPr>
          <w:rFonts w:ascii="Times New Roman" w:hAnsi="Times New Roman" w:cs="Times New Roman"/>
          <w:sz w:val="24"/>
          <w:szCs w:val="24"/>
        </w:rPr>
        <w:t xml:space="preserve"> as</w:t>
      </w:r>
      <w:r w:rsidR="00094B74">
        <w:rPr>
          <w:rFonts w:ascii="Times New Roman" w:hAnsi="Times New Roman" w:cs="Times New Roman"/>
          <w:sz w:val="24"/>
          <w:szCs w:val="24"/>
        </w:rPr>
        <w:t xml:space="preserve"> no</w:t>
      </w:r>
      <w:r w:rsidR="009453EC">
        <w:rPr>
          <w:rFonts w:ascii="Times New Roman" w:hAnsi="Times New Roman" w:cs="Times New Roman"/>
          <w:sz w:val="24"/>
          <w:szCs w:val="24"/>
        </w:rPr>
        <w:t xml:space="preserve"> more than tested examples of the application of the “general” principles</w:t>
      </w:r>
      <w:r w:rsidR="0062423A">
        <w:rPr>
          <w:rFonts w:ascii="Times New Roman" w:hAnsi="Times New Roman" w:cs="Times New Roman"/>
          <w:sz w:val="24"/>
          <w:szCs w:val="24"/>
        </w:rPr>
        <w:t xml:space="preserve">? </w:t>
      </w:r>
      <w:r w:rsidR="009453EC">
        <w:rPr>
          <w:rFonts w:ascii="Times New Roman" w:hAnsi="Times New Roman" w:cs="Times New Roman"/>
          <w:sz w:val="24"/>
          <w:szCs w:val="24"/>
        </w:rPr>
        <w:t xml:space="preserve"> On this </w:t>
      </w:r>
      <w:r w:rsidR="0062423A">
        <w:rPr>
          <w:rFonts w:ascii="Times New Roman" w:hAnsi="Times New Roman" w:cs="Times New Roman"/>
          <w:sz w:val="24"/>
          <w:szCs w:val="24"/>
        </w:rPr>
        <w:t>understanding</w:t>
      </w:r>
      <w:r w:rsidR="009453EC">
        <w:rPr>
          <w:rFonts w:ascii="Times New Roman" w:hAnsi="Times New Roman" w:cs="Times New Roman"/>
          <w:sz w:val="24"/>
          <w:szCs w:val="24"/>
        </w:rPr>
        <w:t xml:space="preserve"> the </w:t>
      </w:r>
      <w:r w:rsidR="00094B74">
        <w:rPr>
          <w:rFonts w:ascii="Times New Roman" w:hAnsi="Times New Roman" w:cs="Times New Roman"/>
          <w:sz w:val="24"/>
          <w:szCs w:val="24"/>
        </w:rPr>
        <w:t xml:space="preserve">established </w:t>
      </w:r>
      <w:r w:rsidR="009453EC">
        <w:rPr>
          <w:rFonts w:ascii="Times New Roman" w:hAnsi="Times New Roman" w:cs="Times New Roman"/>
          <w:sz w:val="24"/>
          <w:szCs w:val="24"/>
        </w:rPr>
        <w:t xml:space="preserve">claims, although having distinct historical origins, </w:t>
      </w:r>
      <w:r w:rsidR="004E5669">
        <w:rPr>
          <w:rFonts w:ascii="Times New Roman" w:hAnsi="Times New Roman" w:cs="Times New Roman"/>
          <w:sz w:val="24"/>
          <w:szCs w:val="24"/>
        </w:rPr>
        <w:t xml:space="preserve">just represent typical fact situations to which the general principles can be applied and </w:t>
      </w:r>
      <w:r w:rsidR="0062423A">
        <w:rPr>
          <w:rFonts w:ascii="Times New Roman" w:hAnsi="Times New Roman" w:cs="Times New Roman"/>
          <w:sz w:val="24"/>
          <w:szCs w:val="24"/>
        </w:rPr>
        <w:t xml:space="preserve">whose </w:t>
      </w:r>
      <w:r w:rsidR="004E5669">
        <w:rPr>
          <w:rFonts w:ascii="Times New Roman" w:hAnsi="Times New Roman" w:cs="Times New Roman"/>
          <w:sz w:val="24"/>
          <w:szCs w:val="24"/>
        </w:rPr>
        <w:t xml:space="preserve">satisfaction </w:t>
      </w:r>
      <w:r w:rsidR="0062423A">
        <w:rPr>
          <w:rFonts w:ascii="Times New Roman" w:hAnsi="Times New Roman" w:cs="Times New Roman"/>
          <w:sz w:val="24"/>
          <w:szCs w:val="24"/>
        </w:rPr>
        <w:t xml:space="preserve">alone </w:t>
      </w:r>
      <w:r w:rsidR="004E5669">
        <w:rPr>
          <w:rFonts w:ascii="Times New Roman" w:hAnsi="Times New Roman" w:cs="Times New Roman"/>
          <w:sz w:val="24"/>
          <w:szCs w:val="24"/>
        </w:rPr>
        <w:t>found</w:t>
      </w:r>
      <w:r w:rsidR="0062423A">
        <w:rPr>
          <w:rFonts w:ascii="Times New Roman" w:hAnsi="Times New Roman" w:cs="Times New Roman"/>
          <w:sz w:val="24"/>
          <w:szCs w:val="24"/>
        </w:rPr>
        <w:t>s</w:t>
      </w:r>
      <w:r w:rsidR="004E5669">
        <w:rPr>
          <w:rFonts w:ascii="Times New Roman" w:hAnsi="Times New Roman" w:cs="Times New Roman"/>
          <w:sz w:val="24"/>
          <w:szCs w:val="24"/>
        </w:rPr>
        <w:t xml:space="preserve"> liability. </w:t>
      </w:r>
      <w:r w:rsidR="0062423A">
        <w:rPr>
          <w:rFonts w:ascii="Times New Roman" w:hAnsi="Times New Roman" w:cs="Times New Roman"/>
          <w:sz w:val="24"/>
          <w:szCs w:val="24"/>
        </w:rPr>
        <w:t xml:space="preserve">Alternatively, </w:t>
      </w:r>
      <w:r w:rsidR="001C69F0">
        <w:rPr>
          <w:rFonts w:ascii="Times New Roman" w:hAnsi="Times New Roman" w:cs="Times New Roman"/>
          <w:sz w:val="24"/>
          <w:szCs w:val="24"/>
        </w:rPr>
        <w:t xml:space="preserve">does a claimant need to address the </w:t>
      </w:r>
      <w:r w:rsidR="009A3A6E">
        <w:rPr>
          <w:rFonts w:ascii="Times New Roman" w:hAnsi="Times New Roman" w:cs="Times New Roman"/>
          <w:sz w:val="24"/>
          <w:szCs w:val="24"/>
        </w:rPr>
        <w:t>particular</w:t>
      </w:r>
      <w:r w:rsidR="001C69F0">
        <w:rPr>
          <w:rFonts w:ascii="Times New Roman" w:hAnsi="Times New Roman" w:cs="Times New Roman"/>
          <w:sz w:val="24"/>
          <w:szCs w:val="24"/>
        </w:rPr>
        <w:t xml:space="preserve"> requirements of </w:t>
      </w:r>
      <w:r w:rsidR="00163848">
        <w:rPr>
          <w:rFonts w:ascii="Times New Roman" w:hAnsi="Times New Roman" w:cs="Times New Roman"/>
          <w:sz w:val="24"/>
          <w:szCs w:val="24"/>
        </w:rPr>
        <w:t>the established causes of action</w:t>
      </w:r>
      <w:r w:rsidR="001C69F0">
        <w:rPr>
          <w:rFonts w:ascii="Times New Roman" w:hAnsi="Times New Roman" w:cs="Times New Roman"/>
          <w:sz w:val="24"/>
          <w:szCs w:val="24"/>
        </w:rPr>
        <w:t>?</w:t>
      </w:r>
      <w:r w:rsidR="004E5669">
        <w:rPr>
          <w:rFonts w:ascii="Times New Roman" w:hAnsi="Times New Roman" w:cs="Times New Roman"/>
          <w:sz w:val="24"/>
          <w:szCs w:val="24"/>
        </w:rPr>
        <w:t xml:space="preserve"> </w:t>
      </w:r>
      <w:r w:rsidR="001C69F0">
        <w:rPr>
          <w:rFonts w:ascii="Times New Roman" w:hAnsi="Times New Roman" w:cs="Times New Roman"/>
          <w:sz w:val="24"/>
          <w:szCs w:val="24"/>
        </w:rPr>
        <w:t>This</w:t>
      </w:r>
      <w:r w:rsidR="004E5669">
        <w:rPr>
          <w:rFonts w:ascii="Times New Roman" w:hAnsi="Times New Roman" w:cs="Times New Roman"/>
          <w:sz w:val="24"/>
          <w:szCs w:val="24"/>
        </w:rPr>
        <w:t xml:space="preserve"> </w:t>
      </w:r>
      <w:r w:rsidR="001C69F0">
        <w:rPr>
          <w:rFonts w:ascii="Times New Roman" w:hAnsi="Times New Roman" w:cs="Times New Roman"/>
          <w:sz w:val="24"/>
          <w:szCs w:val="24"/>
        </w:rPr>
        <w:t xml:space="preserve">issue </w:t>
      </w:r>
      <w:r w:rsidR="008B304D">
        <w:rPr>
          <w:rFonts w:ascii="Times New Roman" w:hAnsi="Times New Roman" w:cs="Times New Roman"/>
          <w:sz w:val="24"/>
          <w:szCs w:val="24"/>
        </w:rPr>
        <w:t xml:space="preserve">of </w:t>
      </w:r>
      <w:r w:rsidR="001C69F0">
        <w:rPr>
          <w:rFonts w:ascii="Times New Roman" w:hAnsi="Times New Roman" w:cs="Times New Roman"/>
          <w:sz w:val="24"/>
          <w:szCs w:val="24"/>
        </w:rPr>
        <w:t xml:space="preserve">“subsidiarity” </w:t>
      </w:r>
      <w:r w:rsidR="004E5669">
        <w:rPr>
          <w:rFonts w:ascii="Times New Roman" w:hAnsi="Times New Roman" w:cs="Times New Roman"/>
          <w:sz w:val="24"/>
          <w:szCs w:val="24"/>
        </w:rPr>
        <w:t>prompt</w:t>
      </w:r>
      <w:r w:rsidR="001C69F0">
        <w:rPr>
          <w:rFonts w:ascii="Times New Roman" w:hAnsi="Times New Roman" w:cs="Times New Roman"/>
          <w:sz w:val="24"/>
          <w:szCs w:val="24"/>
        </w:rPr>
        <w:t>s</w:t>
      </w:r>
      <w:r w:rsidR="004E5669">
        <w:rPr>
          <w:rFonts w:ascii="Times New Roman" w:hAnsi="Times New Roman" w:cs="Times New Roman"/>
          <w:sz w:val="24"/>
          <w:szCs w:val="24"/>
        </w:rPr>
        <w:t xml:space="preserve"> a consideration of the </w:t>
      </w:r>
      <w:r w:rsidR="00C865E5">
        <w:rPr>
          <w:rFonts w:ascii="Times New Roman" w:hAnsi="Times New Roman" w:cs="Times New Roman"/>
          <w:sz w:val="24"/>
          <w:szCs w:val="24"/>
        </w:rPr>
        <w:t>process of generalisation</w:t>
      </w:r>
      <w:r w:rsidR="00163848">
        <w:rPr>
          <w:rFonts w:ascii="Times New Roman" w:hAnsi="Times New Roman" w:cs="Times New Roman"/>
          <w:sz w:val="24"/>
          <w:szCs w:val="24"/>
        </w:rPr>
        <w:t xml:space="preserve"> </w:t>
      </w:r>
      <w:r w:rsidR="00972C14">
        <w:rPr>
          <w:rFonts w:ascii="Times New Roman" w:hAnsi="Times New Roman" w:cs="Times New Roman"/>
          <w:sz w:val="24"/>
          <w:szCs w:val="24"/>
        </w:rPr>
        <w:t xml:space="preserve">from causes of action like the </w:t>
      </w:r>
      <w:r w:rsidR="00972C14" w:rsidRPr="00972C14">
        <w:rPr>
          <w:rFonts w:ascii="Times New Roman" w:hAnsi="Times New Roman" w:cs="Times New Roman"/>
          <w:i/>
          <w:sz w:val="24"/>
          <w:szCs w:val="24"/>
        </w:rPr>
        <w:t>condictio</w:t>
      </w:r>
      <w:r w:rsidR="00972C14">
        <w:rPr>
          <w:rFonts w:ascii="Times New Roman" w:hAnsi="Times New Roman" w:cs="Times New Roman"/>
          <w:sz w:val="24"/>
          <w:szCs w:val="24"/>
        </w:rPr>
        <w:t xml:space="preserve"> and the liability of an owner to the good faith possessor/improver to </w:t>
      </w:r>
      <w:r w:rsidR="009A3A6E">
        <w:rPr>
          <w:rFonts w:ascii="Times New Roman" w:hAnsi="Times New Roman" w:cs="Times New Roman"/>
          <w:sz w:val="24"/>
          <w:szCs w:val="24"/>
        </w:rPr>
        <w:t>“</w:t>
      </w:r>
      <w:r w:rsidR="00163848">
        <w:rPr>
          <w:rFonts w:ascii="Times New Roman" w:hAnsi="Times New Roman" w:cs="Times New Roman"/>
          <w:sz w:val="24"/>
          <w:szCs w:val="24"/>
        </w:rPr>
        <w:t>unjustified enrichment</w:t>
      </w:r>
      <w:r w:rsidR="009A3A6E">
        <w:rPr>
          <w:rFonts w:ascii="Times New Roman" w:hAnsi="Times New Roman" w:cs="Times New Roman"/>
          <w:sz w:val="24"/>
          <w:szCs w:val="24"/>
        </w:rPr>
        <w:t>”</w:t>
      </w:r>
      <w:r w:rsidR="00163848">
        <w:rPr>
          <w:rFonts w:ascii="Times New Roman" w:hAnsi="Times New Roman" w:cs="Times New Roman"/>
          <w:sz w:val="24"/>
          <w:szCs w:val="24"/>
        </w:rPr>
        <w:t xml:space="preserve"> in modern law</w:t>
      </w:r>
      <w:r w:rsidR="00D24A64">
        <w:rPr>
          <w:rFonts w:ascii="Times New Roman" w:hAnsi="Times New Roman" w:cs="Times New Roman"/>
          <w:sz w:val="24"/>
          <w:szCs w:val="24"/>
        </w:rPr>
        <w:t>.</w:t>
      </w:r>
    </w:p>
    <w:p w14:paraId="726744A8" w14:textId="77777777" w:rsidR="006470E1" w:rsidRPr="006470E1" w:rsidRDefault="006470E1" w:rsidP="006470E1">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(2) Condictio </w:t>
      </w:r>
      <w:r w:rsidRPr="006470E1">
        <w:rPr>
          <w:rFonts w:ascii="Times New Roman" w:hAnsi="Times New Roman" w:cs="Times New Roman"/>
          <w:i/>
          <w:sz w:val="24"/>
          <w:szCs w:val="24"/>
        </w:rPr>
        <w:t xml:space="preserve">is a Cause of </w:t>
      </w:r>
      <w:r w:rsidR="00853452">
        <w:rPr>
          <w:rFonts w:ascii="Times New Roman" w:hAnsi="Times New Roman" w:cs="Times New Roman"/>
          <w:i/>
          <w:sz w:val="24"/>
          <w:szCs w:val="24"/>
        </w:rPr>
        <w:t>A</w:t>
      </w:r>
      <w:r w:rsidRPr="006470E1">
        <w:rPr>
          <w:rFonts w:ascii="Times New Roman" w:hAnsi="Times New Roman" w:cs="Times New Roman"/>
          <w:i/>
          <w:sz w:val="24"/>
          <w:szCs w:val="24"/>
        </w:rPr>
        <w:t>ction</w:t>
      </w:r>
    </w:p>
    <w:p w14:paraId="7EC1C548" w14:textId="6DB42ECA" w:rsidR="005D6E9B" w:rsidRDefault="006470E1" w:rsidP="001B71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6470E1">
        <w:rPr>
          <w:rFonts w:ascii="Times New Roman" w:hAnsi="Times New Roman" w:cs="Times New Roman"/>
          <w:i/>
          <w:sz w:val="24"/>
          <w:szCs w:val="24"/>
        </w:rPr>
        <w:t xml:space="preserve">condictio </w:t>
      </w:r>
      <w:r>
        <w:rPr>
          <w:rFonts w:ascii="Times New Roman" w:hAnsi="Times New Roman" w:cs="Times New Roman"/>
          <w:sz w:val="24"/>
          <w:szCs w:val="24"/>
        </w:rPr>
        <w:t xml:space="preserve">in the formulary system of </w:t>
      </w:r>
      <w:r w:rsidR="00853452">
        <w:rPr>
          <w:rFonts w:ascii="Times New Roman" w:hAnsi="Times New Roman" w:cs="Times New Roman"/>
          <w:sz w:val="24"/>
          <w:szCs w:val="24"/>
        </w:rPr>
        <w:t xml:space="preserve">old </w:t>
      </w:r>
      <w:r>
        <w:rPr>
          <w:rFonts w:ascii="Times New Roman" w:hAnsi="Times New Roman" w:cs="Times New Roman"/>
          <w:sz w:val="24"/>
          <w:szCs w:val="24"/>
        </w:rPr>
        <w:t xml:space="preserve">Roman law was a </w:t>
      </w:r>
      <w:r w:rsidR="0032525E">
        <w:rPr>
          <w:rFonts w:ascii="Times New Roman" w:hAnsi="Times New Roman" w:cs="Times New Roman"/>
          <w:sz w:val="24"/>
          <w:szCs w:val="24"/>
        </w:rPr>
        <w:t xml:space="preserve">widely used </w:t>
      </w:r>
      <w:r>
        <w:rPr>
          <w:rFonts w:ascii="Times New Roman" w:hAnsi="Times New Roman" w:cs="Times New Roman"/>
          <w:sz w:val="24"/>
          <w:szCs w:val="24"/>
        </w:rPr>
        <w:t xml:space="preserve">remedy addressed to the recovery only of “certain” benefits like a fixed sum of money (ZAR100) or a distinct thing (the horse </w:t>
      </w:r>
      <w:r w:rsidR="00C040B2">
        <w:rPr>
          <w:rFonts w:ascii="Times New Roman" w:hAnsi="Times New Roman" w:cs="Times New Roman"/>
          <w:sz w:val="24"/>
          <w:szCs w:val="24"/>
        </w:rPr>
        <w:t>“</w:t>
      </w:r>
      <w:r>
        <w:rPr>
          <w:rFonts w:ascii="Times New Roman" w:hAnsi="Times New Roman" w:cs="Times New Roman"/>
          <w:sz w:val="24"/>
          <w:szCs w:val="24"/>
        </w:rPr>
        <w:t>Ned</w:t>
      </w:r>
      <w:r w:rsidR="00C040B2">
        <w:rPr>
          <w:rFonts w:ascii="Times New Roman" w:hAnsi="Times New Roman" w:cs="Times New Roman"/>
          <w:sz w:val="24"/>
          <w:szCs w:val="24"/>
        </w:rPr>
        <w:t>”</w:t>
      </w:r>
      <w:r>
        <w:rPr>
          <w:rFonts w:ascii="Times New Roman" w:hAnsi="Times New Roman" w:cs="Times New Roman"/>
          <w:sz w:val="24"/>
          <w:szCs w:val="24"/>
        </w:rPr>
        <w:t xml:space="preserve">). In 1998 in </w:t>
      </w:r>
      <w:r w:rsidRPr="006470E1">
        <w:rPr>
          <w:rFonts w:ascii="Times New Roman" w:hAnsi="Times New Roman" w:cs="Times New Roman"/>
          <w:i/>
          <w:sz w:val="24"/>
          <w:szCs w:val="24"/>
        </w:rPr>
        <w:t>Shilliday v Smith</w:t>
      </w:r>
      <w:r>
        <w:rPr>
          <w:rFonts w:ascii="Times New Roman" w:hAnsi="Times New Roman" w:cs="Times New Roman"/>
          <w:sz w:val="24"/>
          <w:szCs w:val="24"/>
        </w:rPr>
        <w:t xml:space="preserve"> Lord Rodger </w:t>
      </w:r>
      <w:r w:rsidR="00853452">
        <w:rPr>
          <w:rFonts w:ascii="Times New Roman" w:hAnsi="Times New Roman" w:cs="Times New Roman"/>
          <w:sz w:val="24"/>
          <w:szCs w:val="24"/>
        </w:rPr>
        <w:t xml:space="preserve">stated </w:t>
      </w:r>
      <w:r>
        <w:rPr>
          <w:rFonts w:ascii="Times New Roman" w:hAnsi="Times New Roman" w:cs="Times New Roman"/>
          <w:sz w:val="24"/>
          <w:szCs w:val="24"/>
        </w:rPr>
        <w:t xml:space="preserve">that in Scots law the term </w:t>
      </w:r>
      <w:r w:rsidRPr="006470E1">
        <w:rPr>
          <w:rFonts w:ascii="Times New Roman" w:hAnsi="Times New Roman" w:cs="Times New Roman"/>
          <w:i/>
          <w:sz w:val="24"/>
          <w:szCs w:val="24"/>
        </w:rPr>
        <w:t>condictio</w:t>
      </w:r>
      <w:r>
        <w:rPr>
          <w:rFonts w:ascii="Times New Roman" w:hAnsi="Times New Roman" w:cs="Times New Roman"/>
          <w:sz w:val="24"/>
          <w:szCs w:val="24"/>
        </w:rPr>
        <w:t xml:space="preserve"> represents </w:t>
      </w:r>
      <w:r w:rsidR="00C040B2">
        <w:rPr>
          <w:rFonts w:ascii="Times New Roman" w:hAnsi="Times New Roman" w:cs="Times New Roman"/>
          <w:sz w:val="24"/>
          <w:szCs w:val="24"/>
        </w:rPr>
        <w:t>a</w:t>
      </w:r>
      <w:r w:rsidR="00157D7B" w:rsidRPr="001B7110">
        <w:rPr>
          <w:rFonts w:ascii="Times New Roman" w:hAnsi="Times New Roman" w:cs="Times New Roman"/>
          <w:sz w:val="24"/>
          <w:szCs w:val="24"/>
        </w:rPr>
        <w:t xml:space="preserve"> </w:t>
      </w:r>
      <w:r>
        <w:rPr>
          <w:rFonts w:ascii="Times New Roman" w:hAnsi="Times New Roman" w:cs="Times New Roman"/>
          <w:sz w:val="24"/>
          <w:szCs w:val="24"/>
        </w:rPr>
        <w:t xml:space="preserve">distinct group of </w:t>
      </w:r>
      <w:r w:rsidR="00157D7B" w:rsidRPr="006470E1">
        <w:rPr>
          <w:rFonts w:ascii="Times New Roman" w:hAnsi="Times New Roman" w:cs="Times New Roman"/>
          <w:sz w:val="24"/>
          <w:szCs w:val="24"/>
        </w:rPr>
        <w:t>cause</w:t>
      </w:r>
      <w:r>
        <w:rPr>
          <w:rFonts w:ascii="Times New Roman" w:hAnsi="Times New Roman" w:cs="Times New Roman"/>
          <w:sz w:val="24"/>
          <w:szCs w:val="24"/>
        </w:rPr>
        <w:t>s</w:t>
      </w:r>
      <w:r w:rsidR="00157D7B" w:rsidRPr="006470E1">
        <w:rPr>
          <w:rFonts w:ascii="Times New Roman" w:hAnsi="Times New Roman" w:cs="Times New Roman"/>
          <w:sz w:val="24"/>
          <w:szCs w:val="24"/>
        </w:rPr>
        <w:t xml:space="preserve"> of action</w:t>
      </w:r>
      <w:r w:rsidR="0032525E">
        <w:rPr>
          <w:rFonts w:ascii="Times New Roman" w:hAnsi="Times New Roman" w:cs="Times New Roman"/>
          <w:sz w:val="24"/>
          <w:szCs w:val="24"/>
        </w:rPr>
        <w:t>.</w:t>
      </w:r>
      <w:r>
        <w:rPr>
          <w:rFonts w:ascii="Times New Roman" w:hAnsi="Times New Roman" w:cs="Times New Roman"/>
          <w:sz w:val="24"/>
          <w:szCs w:val="24"/>
        </w:rPr>
        <w:t xml:space="preserve"> As Reinhard Zimmermann makes clear elsewhere this had </w:t>
      </w:r>
      <w:r w:rsidR="00C040B2">
        <w:rPr>
          <w:rFonts w:ascii="Times New Roman" w:hAnsi="Times New Roman" w:cs="Times New Roman"/>
          <w:sz w:val="24"/>
          <w:szCs w:val="24"/>
        </w:rPr>
        <w:t xml:space="preserve">in fact </w:t>
      </w:r>
      <w:r>
        <w:rPr>
          <w:rFonts w:ascii="Times New Roman" w:hAnsi="Times New Roman" w:cs="Times New Roman"/>
          <w:sz w:val="24"/>
          <w:szCs w:val="24"/>
        </w:rPr>
        <w:t xml:space="preserve">been </w:t>
      </w:r>
      <w:r w:rsidR="00C040B2">
        <w:rPr>
          <w:rFonts w:ascii="Times New Roman" w:hAnsi="Times New Roman" w:cs="Times New Roman"/>
          <w:sz w:val="24"/>
          <w:szCs w:val="24"/>
        </w:rPr>
        <w:t xml:space="preserve">the case since </w:t>
      </w:r>
      <w:r>
        <w:rPr>
          <w:rFonts w:ascii="Times New Roman" w:hAnsi="Times New Roman" w:cs="Times New Roman"/>
          <w:sz w:val="24"/>
          <w:szCs w:val="24"/>
        </w:rPr>
        <w:t xml:space="preserve">Justinianic </w:t>
      </w:r>
      <w:r w:rsidR="00853452" w:rsidRPr="00853452">
        <w:rPr>
          <w:rFonts w:ascii="Times New Roman" w:hAnsi="Times New Roman" w:cs="Times New Roman"/>
          <w:i/>
          <w:sz w:val="24"/>
          <w:szCs w:val="24"/>
        </w:rPr>
        <w:t>i.e</w:t>
      </w:r>
      <w:r w:rsidR="00853452">
        <w:rPr>
          <w:rFonts w:ascii="Times New Roman" w:hAnsi="Times New Roman" w:cs="Times New Roman"/>
          <w:sz w:val="24"/>
          <w:szCs w:val="24"/>
        </w:rPr>
        <w:t>. late</w:t>
      </w:r>
      <w:r w:rsidR="0032525E">
        <w:rPr>
          <w:rFonts w:ascii="Times New Roman" w:hAnsi="Times New Roman" w:cs="Times New Roman"/>
          <w:sz w:val="24"/>
          <w:szCs w:val="24"/>
        </w:rPr>
        <w:t>,</w:t>
      </w:r>
      <w:r w:rsidR="00853452">
        <w:rPr>
          <w:rFonts w:ascii="Times New Roman" w:hAnsi="Times New Roman" w:cs="Times New Roman"/>
          <w:sz w:val="24"/>
          <w:szCs w:val="24"/>
        </w:rPr>
        <w:t xml:space="preserve"> </w:t>
      </w:r>
      <w:r>
        <w:rPr>
          <w:rFonts w:ascii="Times New Roman" w:hAnsi="Times New Roman" w:cs="Times New Roman"/>
          <w:sz w:val="24"/>
          <w:szCs w:val="24"/>
        </w:rPr>
        <w:t xml:space="preserve">Roman law. </w:t>
      </w:r>
      <w:r w:rsidR="00CA1349">
        <w:rPr>
          <w:rFonts w:ascii="Times New Roman" w:hAnsi="Times New Roman" w:cs="Times New Roman"/>
          <w:sz w:val="24"/>
          <w:szCs w:val="24"/>
        </w:rPr>
        <w:t>A</w:t>
      </w:r>
      <w:r w:rsidR="00853452">
        <w:rPr>
          <w:rFonts w:ascii="Times New Roman" w:hAnsi="Times New Roman" w:cs="Times New Roman"/>
          <w:sz w:val="24"/>
          <w:szCs w:val="24"/>
        </w:rPr>
        <w:t xml:space="preserve"> </w:t>
      </w:r>
      <w:r w:rsidR="00853452" w:rsidRPr="00853452">
        <w:rPr>
          <w:rFonts w:ascii="Times New Roman" w:hAnsi="Times New Roman" w:cs="Times New Roman"/>
          <w:i/>
          <w:sz w:val="24"/>
          <w:szCs w:val="24"/>
        </w:rPr>
        <w:t>condictio</w:t>
      </w:r>
      <w:r w:rsidR="00853452">
        <w:rPr>
          <w:rFonts w:ascii="Times New Roman" w:hAnsi="Times New Roman" w:cs="Times New Roman"/>
          <w:sz w:val="24"/>
          <w:szCs w:val="24"/>
        </w:rPr>
        <w:t xml:space="preserve"> cause of action</w:t>
      </w:r>
      <w:r w:rsidR="0032525E">
        <w:rPr>
          <w:rFonts w:ascii="Times New Roman" w:hAnsi="Times New Roman" w:cs="Times New Roman"/>
          <w:sz w:val="24"/>
          <w:szCs w:val="24"/>
        </w:rPr>
        <w:t xml:space="preserve"> </w:t>
      </w:r>
      <w:r w:rsidR="0058711C">
        <w:rPr>
          <w:rFonts w:ascii="Times New Roman" w:hAnsi="Times New Roman" w:cs="Times New Roman"/>
          <w:sz w:val="24"/>
          <w:szCs w:val="24"/>
        </w:rPr>
        <w:t xml:space="preserve">now </w:t>
      </w:r>
      <w:r w:rsidR="0032525E">
        <w:rPr>
          <w:rFonts w:ascii="Times New Roman" w:hAnsi="Times New Roman" w:cs="Times New Roman"/>
          <w:sz w:val="24"/>
          <w:szCs w:val="24"/>
        </w:rPr>
        <w:t xml:space="preserve">arises as a claim of unjustified enrichment </w:t>
      </w:r>
      <w:r w:rsidR="00CA1349">
        <w:rPr>
          <w:rFonts w:ascii="Times New Roman" w:hAnsi="Times New Roman" w:cs="Times New Roman"/>
          <w:sz w:val="24"/>
          <w:szCs w:val="24"/>
        </w:rPr>
        <w:t xml:space="preserve">wherever D has been enriched; it is completely immaterial whether </w:t>
      </w:r>
      <w:r w:rsidR="0032525E">
        <w:rPr>
          <w:rFonts w:ascii="Times New Roman" w:hAnsi="Times New Roman" w:cs="Times New Roman"/>
          <w:sz w:val="24"/>
          <w:szCs w:val="24"/>
        </w:rPr>
        <w:t xml:space="preserve">the benefit </w:t>
      </w:r>
      <w:r w:rsidR="00CA1349">
        <w:rPr>
          <w:rFonts w:ascii="Times New Roman" w:hAnsi="Times New Roman" w:cs="Times New Roman"/>
          <w:sz w:val="24"/>
          <w:szCs w:val="24"/>
        </w:rPr>
        <w:t xml:space="preserve">was </w:t>
      </w:r>
      <w:r w:rsidR="0032525E">
        <w:rPr>
          <w:rFonts w:ascii="Times New Roman" w:hAnsi="Times New Roman" w:cs="Times New Roman"/>
          <w:sz w:val="24"/>
          <w:szCs w:val="24"/>
        </w:rPr>
        <w:t>“certain” or “uncertain”</w:t>
      </w:r>
      <w:r w:rsidR="00CA1349">
        <w:rPr>
          <w:rFonts w:ascii="Times New Roman" w:hAnsi="Times New Roman" w:cs="Times New Roman"/>
          <w:sz w:val="24"/>
          <w:szCs w:val="24"/>
        </w:rPr>
        <w:t>.</w:t>
      </w:r>
      <w:r w:rsidR="00062BEB">
        <w:rPr>
          <w:rFonts w:ascii="Times New Roman" w:hAnsi="Times New Roman" w:cs="Times New Roman"/>
          <w:sz w:val="24"/>
          <w:szCs w:val="24"/>
        </w:rPr>
        <w:t xml:space="preserve"> </w:t>
      </w:r>
      <w:r w:rsidR="0058711C">
        <w:rPr>
          <w:rFonts w:ascii="Times New Roman" w:hAnsi="Times New Roman" w:cs="Times New Roman"/>
          <w:sz w:val="24"/>
          <w:szCs w:val="24"/>
        </w:rPr>
        <w:t xml:space="preserve">The inclusion of the </w:t>
      </w:r>
      <w:r w:rsidR="0058711C" w:rsidRPr="0058711C">
        <w:rPr>
          <w:rFonts w:ascii="Times New Roman" w:hAnsi="Times New Roman" w:cs="Times New Roman"/>
          <w:i/>
          <w:sz w:val="24"/>
          <w:szCs w:val="24"/>
        </w:rPr>
        <w:t>condictio</w:t>
      </w:r>
      <w:r w:rsidR="0058711C">
        <w:rPr>
          <w:rFonts w:ascii="Times New Roman" w:hAnsi="Times New Roman" w:cs="Times New Roman"/>
          <w:sz w:val="24"/>
          <w:szCs w:val="24"/>
        </w:rPr>
        <w:t xml:space="preserve"> within the law of unjustified enrichment also results in </w:t>
      </w:r>
      <w:r w:rsidR="00062BEB">
        <w:rPr>
          <w:rFonts w:ascii="Times New Roman" w:hAnsi="Times New Roman" w:cs="Times New Roman"/>
          <w:sz w:val="24"/>
          <w:szCs w:val="24"/>
        </w:rPr>
        <w:t>a necessary shift in the conception of the nature of the transa</w:t>
      </w:r>
      <w:r w:rsidR="00F530DE">
        <w:rPr>
          <w:rFonts w:ascii="Times New Roman" w:hAnsi="Times New Roman" w:cs="Times New Roman"/>
          <w:sz w:val="24"/>
          <w:szCs w:val="24"/>
        </w:rPr>
        <w:t xml:space="preserve">ction </w:t>
      </w:r>
      <w:r w:rsidR="00DC3D52">
        <w:rPr>
          <w:rFonts w:ascii="Times New Roman" w:hAnsi="Times New Roman" w:cs="Times New Roman"/>
          <w:sz w:val="24"/>
          <w:szCs w:val="24"/>
        </w:rPr>
        <w:t xml:space="preserve">from </w:t>
      </w:r>
      <w:r w:rsidR="0058711C">
        <w:rPr>
          <w:rFonts w:ascii="Times New Roman" w:hAnsi="Times New Roman" w:cs="Times New Roman"/>
          <w:sz w:val="24"/>
          <w:szCs w:val="24"/>
        </w:rPr>
        <w:t xml:space="preserve">which it </w:t>
      </w:r>
      <w:r w:rsidR="00DC3D52">
        <w:rPr>
          <w:rFonts w:ascii="Times New Roman" w:hAnsi="Times New Roman" w:cs="Times New Roman"/>
          <w:sz w:val="24"/>
          <w:szCs w:val="24"/>
        </w:rPr>
        <w:t>a</w:t>
      </w:r>
      <w:r w:rsidR="0058711C">
        <w:rPr>
          <w:rFonts w:ascii="Times New Roman" w:hAnsi="Times New Roman" w:cs="Times New Roman"/>
          <w:sz w:val="24"/>
          <w:szCs w:val="24"/>
        </w:rPr>
        <w:t>rise</w:t>
      </w:r>
      <w:r w:rsidR="00DC3D52">
        <w:rPr>
          <w:rFonts w:ascii="Times New Roman" w:hAnsi="Times New Roman" w:cs="Times New Roman"/>
          <w:sz w:val="24"/>
          <w:szCs w:val="24"/>
        </w:rPr>
        <w:t>s</w:t>
      </w:r>
      <w:r w:rsidR="0058711C">
        <w:rPr>
          <w:rFonts w:ascii="Times New Roman" w:hAnsi="Times New Roman" w:cs="Times New Roman"/>
          <w:sz w:val="24"/>
          <w:szCs w:val="24"/>
        </w:rPr>
        <w:t xml:space="preserve">. </w:t>
      </w:r>
      <w:r w:rsidR="00F530DE">
        <w:rPr>
          <w:rFonts w:ascii="Times New Roman" w:hAnsi="Times New Roman" w:cs="Times New Roman"/>
          <w:sz w:val="24"/>
          <w:szCs w:val="24"/>
        </w:rPr>
        <w:t xml:space="preserve">Where this had been restricted </w:t>
      </w:r>
      <w:r w:rsidR="0058711C">
        <w:rPr>
          <w:rFonts w:ascii="Times New Roman" w:hAnsi="Times New Roman" w:cs="Times New Roman"/>
          <w:sz w:val="24"/>
          <w:szCs w:val="24"/>
        </w:rPr>
        <w:t xml:space="preserve">in Roman law </w:t>
      </w:r>
      <w:r w:rsidR="00F530DE">
        <w:rPr>
          <w:rFonts w:ascii="Times New Roman" w:hAnsi="Times New Roman" w:cs="Times New Roman"/>
          <w:sz w:val="24"/>
          <w:szCs w:val="24"/>
        </w:rPr>
        <w:t>to</w:t>
      </w:r>
      <w:r w:rsidR="00062BEB">
        <w:rPr>
          <w:rFonts w:ascii="Times New Roman" w:hAnsi="Times New Roman" w:cs="Times New Roman"/>
          <w:sz w:val="24"/>
          <w:szCs w:val="24"/>
        </w:rPr>
        <w:t xml:space="preserve"> payment</w:t>
      </w:r>
      <w:r w:rsidR="00F530DE">
        <w:rPr>
          <w:rFonts w:ascii="Times New Roman" w:hAnsi="Times New Roman" w:cs="Times New Roman"/>
          <w:sz w:val="24"/>
          <w:szCs w:val="24"/>
        </w:rPr>
        <w:t>s</w:t>
      </w:r>
      <w:r w:rsidR="00062BEB">
        <w:rPr>
          <w:rFonts w:ascii="Times New Roman" w:hAnsi="Times New Roman" w:cs="Times New Roman"/>
          <w:sz w:val="24"/>
          <w:szCs w:val="24"/>
        </w:rPr>
        <w:t xml:space="preserve"> or transfer</w:t>
      </w:r>
      <w:r w:rsidR="00F530DE">
        <w:rPr>
          <w:rFonts w:ascii="Times New Roman" w:hAnsi="Times New Roman" w:cs="Times New Roman"/>
          <w:sz w:val="24"/>
          <w:szCs w:val="24"/>
        </w:rPr>
        <w:t xml:space="preserve">s </w:t>
      </w:r>
      <w:r w:rsidR="00062BEB">
        <w:rPr>
          <w:rFonts w:ascii="Times New Roman" w:hAnsi="Times New Roman" w:cs="Times New Roman"/>
          <w:sz w:val="24"/>
          <w:szCs w:val="24"/>
        </w:rPr>
        <w:t>of property</w:t>
      </w:r>
      <w:r w:rsidR="00F530DE">
        <w:rPr>
          <w:rFonts w:ascii="Times New Roman" w:hAnsi="Times New Roman" w:cs="Times New Roman"/>
          <w:sz w:val="24"/>
          <w:szCs w:val="24"/>
        </w:rPr>
        <w:t xml:space="preserve"> </w:t>
      </w:r>
      <w:r w:rsidR="0058711C">
        <w:rPr>
          <w:rFonts w:ascii="Times New Roman" w:hAnsi="Times New Roman" w:cs="Times New Roman"/>
          <w:sz w:val="24"/>
          <w:szCs w:val="24"/>
        </w:rPr>
        <w:t>(</w:t>
      </w:r>
      <w:r w:rsidR="0058711C" w:rsidRPr="0058711C">
        <w:rPr>
          <w:rFonts w:ascii="Times New Roman" w:hAnsi="Times New Roman" w:cs="Times New Roman"/>
          <w:i/>
          <w:sz w:val="24"/>
          <w:szCs w:val="24"/>
        </w:rPr>
        <w:t>certa pecunia/res</w:t>
      </w:r>
      <w:r w:rsidR="0058711C">
        <w:rPr>
          <w:rFonts w:ascii="Times New Roman" w:hAnsi="Times New Roman" w:cs="Times New Roman"/>
          <w:sz w:val="24"/>
          <w:szCs w:val="24"/>
        </w:rPr>
        <w:t xml:space="preserve">) </w:t>
      </w:r>
      <w:r w:rsidR="00F530DE">
        <w:rPr>
          <w:rFonts w:ascii="Times New Roman" w:hAnsi="Times New Roman" w:cs="Times New Roman"/>
          <w:sz w:val="24"/>
          <w:szCs w:val="24"/>
        </w:rPr>
        <w:t xml:space="preserve">it </w:t>
      </w:r>
      <w:r w:rsidR="0058711C">
        <w:rPr>
          <w:rFonts w:ascii="Times New Roman" w:hAnsi="Times New Roman" w:cs="Times New Roman"/>
          <w:sz w:val="24"/>
          <w:szCs w:val="24"/>
        </w:rPr>
        <w:t xml:space="preserve">is now necessary to include all circumstances by which D was objectively enriched as, for example, where D </w:t>
      </w:r>
      <w:r w:rsidR="00F530DE">
        <w:rPr>
          <w:rFonts w:ascii="Times New Roman" w:hAnsi="Times New Roman" w:cs="Times New Roman"/>
          <w:sz w:val="24"/>
          <w:szCs w:val="24"/>
        </w:rPr>
        <w:t>benefited from services provided by</w:t>
      </w:r>
      <w:r w:rsidR="0058711C">
        <w:rPr>
          <w:rFonts w:ascii="Times New Roman" w:hAnsi="Times New Roman" w:cs="Times New Roman"/>
          <w:sz w:val="24"/>
          <w:szCs w:val="24"/>
        </w:rPr>
        <w:t xml:space="preserve"> P</w:t>
      </w:r>
      <w:r w:rsidR="00D24A64">
        <w:rPr>
          <w:rFonts w:ascii="Times New Roman" w:hAnsi="Times New Roman" w:cs="Times New Roman"/>
          <w:sz w:val="24"/>
          <w:szCs w:val="24"/>
        </w:rPr>
        <w:t>.</w:t>
      </w:r>
      <w:r w:rsidR="00F530DE">
        <w:rPr>
          <w:rFonts w:ascii="Times New Roman" w:hAnsi="Times New Roman" w:cs="Times New Roman"/>
          <w:sz w:val="24"/>
          <w:szCs w:val="24"/>
        </w:rPr>
        <w:t xml:space="preserve"> </w:t>
      </w:r>
      <w:r w:rsidR="0058711C">
        <w:rPr>
          <w:rFonts w:ascii="Times New Roman" w:hAnsi="Times New Roman" w:cs="Times New Roman"/>
          <w:sz w:val="24"/>
          <w:szCs w:val="24"/>
        </w:rPr>
        <w:t xml:space="preserve">The point is expressly made by Lord Rodger in </w:t>
      </w:r>
      <w:r w:rsidR="0058711C" w:rsidRPr="0058711C">
        <w:rPr>
          <w:rFonts w:ascii="Times New Roman" w:hAnsi="Times New Roman" w:cs="Times New Roman"/>
          <w:i/>
          <w:sz w:val="24"/>
          <w:szCs w:val="24"/>
        </w:rPr>
        <w:t>Shilliday</w:t>
      </w:r>
      <w:r w:rsidR="0058711C">
        <w:rPr>
          <w:rFonts w:ascii="Times New Roman" w:hAnsi="Times New Roman" w:cs="Times New Roman"/>
          <w:sz w:val="24"/>
          <w:szCs w:val="24"/>
        </w:rPr>
        <w:t xml:space="preserve">. However, modern South African law adheres to the nature of the transaction to which a </w:t>
      </w:r>
      <w:r w:rsidR="0058711C" w:rsidRPr="0058711C">
        <w:rPr>
          <w:rFonts w:ascii="Times New Roman" w:hAnsi="Times New Roman" w:cs="Times New Roman"/>
          <w:i/>
          <w:sz w:val="24"/>
          <w:szCs w:val="24"/>
        </w:rPr>
        <w:t>condictio</w:t>
      </w:r>
      <w:r w:rsidR="0058711C">
        <w:rPr>
          <w:rFonts w:ascii="Times New Roman" w:hAnsi="Times New Roman" w:cs="Times New Roman"/>
          <w:sz w:val="24"/>
          <w:szCs w:val="24"/>
        </w:rPr>
        <w:t xml:space="preserve"> gives rise as a “transfer”. The equivalent Scottish descriptor is “deliberate conferral” which is better because it is inclusive also of the “provision of a service” cases. </w:t>
      </w:r>
    </w:p>
    <w:p w14:paraId="6ABA5CDB" w14:textId="77777777" w:rsidR="000139CF" w:rsidRPr="00C040B2" w:rsidRDefault="000139CF" w:rsidP="000139CF">
      <w:pPr>
        <w:spacing w:after="0" w:line="360" w:lineRule="auto"/>
        <w:jc w:val="both"/>
        <w:rPr>
          <w:rFonts w:ascii="Times New Roman" w:hAnsi="Times New Roman" w:cs="Times New Roman"/>
          <w:i/>
          <w:sz w:val="24"/>
          <w:szCs w:val="24"/>
        </w:rPr>
      </w:pPr>
      <w:r w:rsidRPr="00C040B2">
        <w:rPr>
          <w:rFonts w:ascii="Times New Roman" w:hAnsi="Times New Roman" w:cs="Times New Roman"/>
          <w:i/>
          <w:sz w:val="24"/>
          <w:szCs w:val="24"/>
        </w:rPr>
        <w:t>Rights not Actions: Stripping the Alters</w:t>
      </w:r>
      <w:r w:rsidR="00EC771E">
        <w:rPr>
          <w:rFonts w:ascii="Times New Roman" w:hAnsi="Times New Roman" w:cs="Times New Roman"/>
          <w:i/>
          <w:sz w:val="24"/>
          <w:szCs w:val="24"/>
        </w:rPr>
        <w:t>:</w:t>
      </w:r>
      <w:r w:rsidR="00C040B2">
        <w:rPr>
          <w:rFonts w:ascii="Times New Roman" w:hAnsi="Times New Roman" w:cs="Times New Roman"/>
          <w:i/>
          <w:sz w:val="24"/>
          <w:szCs w:val="24"/>
        </w:rPr>
        <w:t xml:space="preserve"> </w:t>
      </w:r>
      <w:r w:rsidRPr="00C040B2">
        <w:rPr>
          <w:rFonts w:ascii="Times New Roman" w:hAnsi="Times New Roman" w:cs="Times New Roman"/>
          <w:i/>
          <w:sz w:val="24"/>
          <w:szCs w:val="24"/>
        </w:rPr>
        <w:t>De-colonis</w:t>
      </w:r>
      <w:r w:rsidR="00C040B2">
        <w:rPr>
          <w:rFonts w:ascii="Times New Roman" w:hAnsi="Times New Roman" w:cs="Times New Roman"/>
          <w:i/>
          <w:sz w:val="24"/>
          <w:szCs w:val="24"/>
        </w:rPr>
        <w:t>ing</w:t>
      </w:r>
      <w:r w:rsidR="00B65BAC" w:rsidRPr="00C040B2">
        <w:rPr>
          <w:rFonts w:ascii="Times New Roman" w:hAnsi="Times New Roman" w:cs="Times New Roman"/>
          <w:i/>
          <w:sz w:val="24"/>
          <w:szCs w:val="24"/>
        </w:rPr>
        <w:t xml:space="preserve"> Scots</w:t>
      </w:r>
      <w:r w:rsidR="00C040B2">
        <w:rPr>
          <w:rFonts w:ascii="Times New Roman" w:hAnsi="Times New Roman" w:cs="Times New Roman"/>
          <w:i/>
          <w:sz w:val="24"/>
          <w:szCs w:val="24"/>
        </w:rPr>
        <w:t xml:space="preserve"> </w:t>
      </w:r>
      <w:r w:rsidR="00B65BAC" w:rsidRPr="00C040B2">
        <w:rPr>
          <w:rFonts w:ascii="Times New Roman" w:hAnsi="Times New Roman" w:cs="Times New Roman"/>
          <w:i/>
          <w:sz w:val="24"/>
          <w:szCs w:val="24"/>
        </w:rPr>
        <w:t>Law</w:t>
      </w:r>
    </w:p>
    <w:p w14:paraId="0A892796" w14:textId="77777777" w:rsidR="000139CF" w:rsidRPr="000139CF" w:rsidRDefault="000139CF" w:rsidP="000139CF">
      <w:pPr>
        <w:spacing w:after="0" w:line="360" w:lineRule="auto"/>
        <w:jc w:val="both"/>
        <w:rPr>
          <w:rFonts w:ascii="Times New Roman" w:hAnsi="Times New Roman" w:cs="Times New Roman"/>
          <w:sz w:val="24"/>
          <w:szCs w:val="24"/>
          <w:lang w:val="en-US"/>
        </w:rPr>
      </w:pPr>
      <w:r w:rsidRPr="000139CF">
        <w:rPr>
          <w:rFonts w:ascii="Times New Roman" w:hAnsi="Times New Roman" w:cs="Times New Roman"/>
          <w:sz w:val="24"/>
          <w:szCs w:val="24"/>
          <w:lang w:val="en-US"/>
        </w:rPr>
        <w:t xml:space="preserve">Grotius fashioned a unitary law of “unjustified enrichment” out of a range of disparate fact situations for which Roman law had provided remedies (actions) unconnected with “unjustified enrichment”. The actionability of these remedies in Roman law rested upon the authority of the </w:t>
      </w:r>
      <w:r w:rsidRPr="000139CF">
        <w:rPr>
          <w:rFonts w:ascii="Times New Roman" w:hAnsi="Times New Roman" w:cs="Times New Roman"/>
          <w:i/>
          <w:sz w:val="24"/>
          <w:szCs w:val="24"/>
          <w:lang w:val="en-US"/>
        </w:rPr>
        <w:t xml:space="preserve">praetor </w:t>
      </w:r>
      <w:r w:rsidRPr="000139CF">
        <w:rPr>
          <w:rFonts w:ascii="Times New Roman" w:hAnsi="Times New Roman" w:cs="Times New Roman"/>
          <w:sz w:val="24"/>
          <w:szCs w:val="24"/>
          <w:lang w:val="en-US"/>
        </w:rPr>
        <w:t>and later, of the jurists. In the later European civilian tradition the</w:t>
      </w:r>
      <w:r w:rsidR="00E401F8">
        <w:rPr>
          <w:rFonts w:ascii="Times New Roman" w:hAnsi="Times New Roman" w:cs="Times New Roman"/>
          <w:sz w:val="24"/>
          <w:szCs w:val="24"/>
          <w:lang w:val="en-US"/>
        </w:rPr>
        <w:t>ir</w:t>
      </w:r>
      <w:r w:rsidRPr="000139CF">
        <w:rPr>
          <w:rFonts w:ascii="Times New Roman" w:hAnsi="Times New Roman" w:cs="Times New Roman"/>
          <w:sz w:val="24"/>
          <w:szCs w:val="24"/>
          <w:lang w:val="en-US"/>
        </w:rPr>
        <w:t xml:space="preserve"> actionability rested on the authority of the text of the </w:t>
      </w:r>
      <w:r w:rsidRPr="000139CF">
        <w:rPr>
          <w:rFonts w:ascii="Times New Roman" w:hAnsi="Times New Roman" w:cs="Times New Roman"/>
          <w:i/>
          <w:sz w:val="24"/>
          <w:szCs w:val="24"/>
          <w:lang w:val="en-US"/>
        </w:rPr>
        <w:t>Corpus Iuris Civilis</w:t>
      </w:r>
      <w:r w:rsidRPr="000139CF">
        <w:rPr>
          <w:rFonts w:ascii="Times New Roman" w:hAnsi="Times New Roman" w:cs="Times New Roman"/>
          <w:sz w:val="24"/>
          <w:szCs w:val="24"/>
          <w:lang w:val="en-US"/>
        </w:rPr>
        <w:t>. In Scotland a break from this “Roman” tradition was made by Stair who replaced its authority, partly at least, with that of a Christian God in the idea of “obediential” obliga</w:t>
      </w:r>
      <w:r w:rsidR="00E203FD">
        <w:rPr>
          <w:rFonts w:ascii="Times New Roman" w:hAnsi="Times New Roman" w:cs="Times New Roman"/>
          <w:sz w:val="24"/>
          <w:szCs w:val="24"/>
          <w:lang w:val="en-US"/>
        </w:rPr>
        <w:t>tions. Notwithstanding that his</w:t>
      </w:r>
      <w:r w:rsidRPr="000139CF">
        <w:rPr>
          <w:rFonts w:ascii="Times New Roman" w:hAnsi="Times New Roman" w:cs="Times New Roman"/>
          <w:sz w:val="24"/>
          <w:szCs w:val="24"/>
          <w:lang w:val="en-US"/>
        </w:rPr>
        <w:t xml:space="preserve"> classificatory model was not to survive</w:t>
      </w:r>
      <w:r w:rsidR="00EC771E">
        <w:rPr>
          <w:rFonts w:ascii="Times New Roman" w:hAnsi="Times New Roman" w:cs="Times New Roman"/>
          <w:sz w:val="24"/>
          <w:szCs w:val="24"/>
          <w:lang w:val="en-US"/>
        </w:rPr>
        <w:t>,</w:t>
      </w:r>
      <w:r w:rsidRPr="000139CF">
        <w:rPr>
          <w:rFonts w:ascii="Times New Roman" w:hAnsi="Times New Roman" w:cs="Times New Roman"/>
          <w:sz w:val="24"/>
          <w:szCs w:val="24"/>
          <w:lang w:val="en-US"/>
        </w:rPr>
        <w:t xml:space="preserve"> </w:t>
      </w:r>
      <w:r w:rsidR="00EC771E">
        <w:rPr>
          <w:rFonts w:ascii="Times New Roman" w:hAnsi="Times New Roman" w:cs="Times New Roman"/>
          <w:sz w:val="24"/>
          <w:szCs w:val="24"/>
          <w:lang w:val="en-US"/>
        </w:rPr>
        <w:t>t</w:t>
      </w:r>
      <w:r w:rsidR="00EC771E" w:rsidRPr="00EC771E">
        <w:rPr>
          <w:rFonts w:ascii="Times New Roman" w:hAnsi="Times New Roman" w:cs="Times New Roman"/>
          <w:sz w:val="24"/>
          <w:szCs w:val="24"/>
          <w:lang w:val="en-US"/>
        </w:rPr>
        <w:t xml:space="preserve">he learning of the </w:t>
      </w:r>
      <w:r w:rsidR="00EC771E" w:rsidRPr="00EC771E">
        <w:rPr>
          <w:rFonts w:ascii="Times New Roman" w:hAnsi="Times New Roman" w:cs="Times New Roman"/>
          <w:i/>
          <w:sz w:val="24"/>
          <w:szCs w:val="24"/>
          <w:lang w:val="en-US"/>
        </w:rPr>
        <w:t>ius commune</w:t>
      </w:r>
      <w:r w:rsidR="00EC771E" w:rsidRPr="00EC771E">
        <w:rPr>
          <w:rFonts w:ascii="Times New Roman" w:hAnsi="Times New Roman" w:cs="Times New Roman"/>
          <w:sz w:val="24"/>
          <w:szCs w:val="24"/>
          <w:lang w:val="en-US"/>
        </w:rPr>
        <w:t xml:space="preserve"> had </w:t>
      </w:r>
      <w:r w:rsidR="00EC771E">
        <w:rPr>
          <w:rFonts w:ascii="Times New Roman" w:hAnsi="Times New Roman" w:cs="Times New Roman"/>
          <w:sz w:val="24"/>
          <w:szCs w:val="24"/>
          <w:lang w:val="en-US"/>
        </w:rPr>
        <w:t xml:space="preserve">to </w:t>
      </w:r>
      <w:r w:rsidR="00EC771E" w:rsidRPr="00EC771E">
        <w:rPr>
          <w:rFonts w:ascii="Times New Roman" w:hAnsi="Times New Roman" w:cs="Times New Roman"/>
          <w:sz w:val="24"/>
          <w:szCs w:val="24"/>
          <w:lang w:val="en-US"/>
        </w:rPr>
        <w:t xml:space="preserve">pass through the eye of the needle of Stair’s </w:t>
      </w:r>
      <w:r w:rsidR="00EC771E" w:rsidRPr="00EC771E">
        <w:rPr>
          <w:rFonts w:ascii="Times New Roman" w:hAnsi="Times New Roman" w:cs="Times New Roman"/>
          <w:i/>
          <w:sz w:val="24"/>
          <w:szCs w:val="24"/>
          <w:lang w:val="en-US"/>
        </w:rPr>
        <w:t>Institutions of the Law of Scotland</w:t>
      </w:r>
      <w:r w:rsidR="00EC771E" w:rsidRPr="00EC771E">
        <w:rPr>
          <w:rFonts w:ascii="Times New Roman" w:hAnsi="Times New Roman" w:cs="Times New Roman"/>
          <w:sz w:val="24"/>
          <w:szCs w:val="24"/>
          <w:lang w:val="en-US"/>
        </w:rPr>
        <w:t xml:space="preserve">. </w:t>
      </w:r>
      <w:r w:rsidRPr="000139CF">
        <w:rPr>
          <w:rFonts w:ascii="Times New Roman" w:hAnsi="Times New Roman" w:cs="Times New Roman"/>
          <w:sz w:val="24"/>
          <w:szCs w:val="24"/>
          <w:lang w:val="en-US"/>
        </w:rPr>
        <w:t xml:space="preserve">Stair </w:t>
      </w:r>
      <w:r w:rsidR="00EC771E">
        <w:rPr>
          <w:rFonts w:ascii="Times New Roman" w:hAnsi="Times New Roman" w:cs="Times New Roman"/>
          <w:sz w:val="24"/>
          <w:szCs w:val="24"/>
          <w:lang w:val="en-US"/>
        </w:rPr>
        <w:t xml:space="preserve">stripped </w:t>
      </w:r>
      <w:r w:rsidRPr="00E203FD">
        <w:rPr>
          <w:rFonts w:ascii="Times New Roman" w:hAnsi="Times New Roman" w:cs="Times New Roman"/>
          <w:sz w:val="24"/>
          <w:szCs w:val="24"/>
          <w:lang w:val="en-US"/>
        </w:rPr>
        <w:t xml:space="preserve">Scots law of much of the “actional” nomenclature of old Roman law drawn </w:t>
      </w:r>
      <w:r w:rsidRPr="000139CF">
        <w:rPr>
          <w:rFonts w:ascii="Times New Roman" w:hAnsi="Times New Roman" w:cs="Times New Roman"/>
          <w:sz w:val="24"/>
          <w:szCs w:val="24"/>
          <w:lang w:val="en-US"/>
        </w:rPr>
        <w:t>in origin from the formulary system, some of it obsolete even for late Roman law. ‘</w:t>
      </w:r>
      <w:r w:rsidRPr="000139CF">
        <w:rPr>
          <w:rFonts w:ascii="Times New Roman" w:hAnsi="Times New Roman" w:cs="Times New Roman"/>
          <w:i/>
          <w:sz w:val="24"/>
          <w:szCs w:val="24"/>
          <w:lang w:val="en-US"/>
        </w:rPr>
        <w:t>Condictio</w:t>
      </w:r>
      <w:r w:rsidRPr="000139CF">
        <w:rPr>
          <w:rFonts w:ascii="Times New Roman" w:hAnsi="Times New Roman" w:cs="Times New Roman"/>
          <w:sz w:val="24"/>
          <w:szCs w:val="24"/>
          <w:lang w:val="en-US"/>
        </w:rPr>
        <w:t xml:space="preserve">’ remains part of the language of contemporary Scots law but, as we are reminded by Lord Rodger in </w:t>
      </w:r>
      <w:r w:rsidRPr="000139CF">
        <w:rPr>
          <w:rFonts w:ascii="Times New Roman" w:hAnsi="Times New Roman" w:cs="Times New Roman"/>
          <w:i/>
          <w:sz w:val="24"/>
          <w:szCs w:val="24"/>
          <w:lang w:val="en-US"/>
        </w:rPr>
        <w:t>Shilliday</w:t>
      </w:r>
      <w:r w:rsidRPr="000139CF">
        <w:rPr>
          <w:rFonts w:ascii="Times New Roman" w:hAnsi="Times New Roman" w:cs="Times New Roman"/>
          <w:sz w:val="24"/>
          <w:szCs w:val="24"/>
          <w:lang w:val="en-US"/>
        </w:rPr>
        <w:t xml:space="preserve">, the term </w:t>
      </w:r>
      <w:r w:rsidR="00F66ACC">
        <w:rPr>
          <w:rFonts w:ascii="Times New Roman" w:hAnsi="Times New Roman" w:cs="Times New Roman"/>
          <w:sz w:val="24"/>
          <w:szCs w:val="24"/>
          <w:lang w:val="en-US"/>
        </w:rPr>
        <w:t xml:space="preserve">now </w:t>
      </w:r>
      <w:r w:rsidRPr="000139CF">
        <w:rPr>
          <w:rFonts w:ascii="Times New Roman" w:hAnsi="Times New Roman" w:cs="Times New Roman"/>
          <w:sz w:val="24"/>
          <w:szCs w:val="24"/>
          <w:lang w:val="en-US"/>
        </w:rPr>
        <w:t>no longer has an ‘actional’ import but is representative only of causes of action understood as part of a system of</w:t>
      </w:r>
      <w:r w:rsidRPr="000139CF">
        <w:rPr>
          <w:rFonts w:ascii="Times New Roman" w:hAnsi="Times New Roman" w:cs="Times New Roman"/>
          <w:i/>
          <w:sz w:val="24"/>
          <w:szCs w:val="24"/>
          <w:lang w:val="en-US"/>
        </w:rPr>
        <w:t xml:space="preserve"> rights</w:t>
      </w:r>
      <w:r w:rsidRPr="000139CF">
        <w:rPr>
          <w:rFonts w:ascii="Times New Roman" w:hAnsi="Times New Roman" w:cs="Times New Roman"/>
          <w:sz w:val="24"/>
          <w:szCs w:val="24"/>
          <w:lang w:val="en-US"/>
        </w:rPr>
        <w:t xml:space="preserve"> to recover a benefit under defined circumstances.</w:t>
      </w:r>
      <w:r w:rsidRPr="000139CF">
        <w:rPr>
          <w:rFonts w:ascii="Times New Roman" w:hAnsi="Times New Roman" w:cs="Times New Roman"/>
          <w:sz w:val="24"/>
          <w:szCs w:val="24"/>
          <w:vertAlign w:val="superscript"/>
          <w:lang w:val="en-US"/>
        </w:rPr>
        <w:footnoteReference w:id="15"/>
      </w:r>
      <w:r w:rsidRPr="000139CF">
        <w:rPr>
          <w:rFonts w:ascii="Times New Roman" w:hAnsi="Times New Roman" w:cs="Times New Roman"/>
          <w:sz w:val="24"/>
          <w:szCs w:val="24"/>
          <w:lang w:val="en-US"/>
        </w:rPr>
        <w:t xml:space="preserve"> Since unjustified enrichment is recognised by the Scottish courts as a source of obligations, it – in all its applications – is </w:t>
      </w:r>
      <w:r w:rsidRPr="00EC771E">
        <w:rPr>
          <w:rFonts w:ascii="Times New Roman" w:hAnsi="Times New Roman" w:cs="Times New Roman"/>
          <w:sz w:val="24"/>
          <w:szCs w:val="24"/>
          <w:lang w:val="en-US"/>
        </w:rPr>
        <w:t>generally justiciable as a system of rights on the basis of that recognition alone</w:t>
      </w:r>
      <w:r w:rsidRPr="00003601">
        <w:rPr>
          <w:rFonts w:ascii="Times New Roman" w:hAnsi="Times New Roman" w:cs="Times New Roman"/>
          <w:b/>
          <w:sz w:val="24"/>
          <w:szCs w:val="24"/>
          <w:lang w:val="en-US"/>
        </w:rPr>
        <w:t>.</w:t>
      </w:r>
      <w:r w:rsidRPr="000139CF">
        <w:rPr>
          <w:rFonts w:ascii="Times New Roman" w:hAnsi="Times New Roman" w:cs="Times New Roman"/>
          <w:sz w:val="24"/>
          <w:szCs w:val="24"/>
          <w:lang w:val="en-US"/>
        </w:rPr>
        <w:t xml:space="preserve"> ‘Actions’ as previously understood should have no role to play. However, what is commonly known as a general enrichment “action” has recently been recognized by Scots law. South African law, because of its Roman-Dutch heritage </w:t>
      </w:r>
      <w:r w:rsidR="00EC771E">
        <w:rPr>
          <w:rFonts w:ascii="Times New Roman" w:hAnsi="Times New Roman" w:cs="Times New Roman"/>
          <w:sz w:val="24"/>
          <w:szCs w:val="24"/>
          <w:lang w:val="en-US"/>
        </w:rPr>
        <w:t xml:space="preserve">remains </w:t>
      </w:r>
      <w:r w:rsidRPr="000139CF">
        <w:rPr>
          <w:rFonts w:ascii="Times New Roman" w:hAnsi="Times New Roman" w:cs="Times New Roman"/>
          <w:sz w:val="24"/>
          <w:szCs w:val="24"/>
          <w:lang w:val="en-US"/>
        </w:rPr>
        <w:t xml:space="preserve">strongly imbued with Roman </w:t>
      </w:r>
      <w:r w:rsidR="007F5043">
        <w:rPr>
          <w:rFonts w:ascii="Times New Roman" w:hAnsi="Times New Roman" w:cs="Times New Roman"/>
          <w:sz w:val="24"/>
          <w:szCs w:val="24"/>
          <w:lang w:val="en-US"/>
        </w:rPr>
        <w:t xml:space="preserve">“actional” </w:t>
      </w:r>
      <w:r w:rsidRPr="000139CF">
        <w:rPr>
          <w:rFonts w:ascii="Times New Roman" w:hAnsi="Times New Roman" w:cs="Times New Roman"/>
          <w:sz w:val="24"/>
          <w:szCs w:val="24"/>
          <w:lang w:val="en-US"/>
        </w:rPr>
        <w:t xml:space="preserve">terminology and </w:t>
      </w:r>
      <w:r w:rsidR="00EC771E">
        <w:rPr>
          <w:rFonts w:ascii="Times New Roman" w:hAnsi="Times New Roman" w:cs="Times New Roman"/>
          <w:sz w:val="24"/>
          <w:szCs w:val="24"/>
          <w:lang w:val="en-US"/>
        </w:rPr>
        <w:t>its</w:t>
      </w:r>
      <w:r w:rsidRPr="000139CF">
        <w:rPr>
          <w:rFonts w:ascii="Times New Roman" w:hAnsi="Times New Roman" w:cs="Times New Roman"/>
          <w:sz w:val="24"/>
          <w:szCs w:val="24"/>
          <w:lang w:val="en-US"/>
        </w:rPr>
        <w:t xml:space="preserve"> remedial disparity</w:t>
      </w:r>
      <w:r w:rsidR="00EC771E">
        <w:rPr>
          <w:rFonts w:ascii="Times New Roman" w:hAnsi="Times New Roman" w:cs="Times New Roman"/>
          <w:sz w:val="24"/>
          <w:szCs w:val="24"/>
          <w:lang w:val="en-US"/>
        </w:rPr>
        <w:t>.</w:t>
      </w:r>
      <w:r w:rsidRPr="000139CF">
        <w:rPr>
          <w:rFonts w:ascii="Times New Roman" w:hAnsi="Times New Roman" w:cs="Times New Roman"/>
          <w:sz w:val="24"/>
          <w:szCs w:val="24"/>
          <w:lang w:val="en-US"/>
        </w:rPr>
        <w:t xml:space="preserve"> A stripping of these alters would be a positive contribution</w:t>
      </w:r>
      <w:r w:rsidR="0032525E">
        <w:rPr>
          <w:rFonts w:ascii="Times New Roman" w:hAnsi="Times New Roman" w:cs="Times New Roman"/>
          <w:sz w:val="24"/>
          <w:szCs w:val="24"/>
          <w:lang w:val="en-US"/>
        </w:rPr>
        <w:t xml:space="preserve"> to the achievement of clarity</w:t>
      </w:r>
      <w:r w:rsidR="00F66ACC">
        <w:rPr>
          <w:rFonts w:ascii="Times New Roman" w:hAnsi="Times New Roman" w:cs="Times New Roman"/>
          <w:sz w:val="24"/>
          <w:szCs w:val="24"/>
          <w:lang w:val="en-US"/>
        </w:rPr>
        <w:t xml:space="preserve"> and accessi</w:t>
      </w:r>
      <w:r w:rsidR="0032525E">
        <w:rPr>
          <w:rFonts w:ascii="Times New Roman" w:hAnsi="Times New Roman" w:cs="Times New Roman"/>
          <w:sz w:val="24"/>
          <w:szCs w:val="24"/>
          <w:lang w:val="en-US"/>
        </w:rPr>
        <w:t xml:space="preserve">bility </w:t>
      </w:r>
      <w:r w:rsidR="00E401F8">
        <w:rPr>
          <w:rFonts w:ascii="Times New Roman" w:hAnsi="Times New Roman" w:cs="Times New Roman"/>
          <w:sz w:val="24"/>
          <w:szCs w:val="24"/>
          <w:lang w:val="en-US"/>
        </w:rPr>
        <w:t xml:space="preserve">(decolonisation) </w:t>
      </w:r>
      <w:r w:rsidR="0032525E">
        <w:rPr>
          <w:rFonts w:ascii="Times New Roman" w:hAnsi="Times New Roman" w:cs="Times New Roman"/>
          <w:sz w:val="24"/>
          <w:szCs w:val="24"/>
          <w:lang w:val="en-US"/>
        </w:rPr>
        <w:t xml:space="preserve">of the old laws. </w:t>
      </w:r>
    </w:p>
    <w:p w14:paraId="4AC059CB" w14:textId="77777777" w:rsidR="0032657C" w:rsidRPr="0032657C" w:rsidRDefault="0032657C" w:rsidP="0032657C">
      <w:pPr>
        <w:spacing w:after="0" w:line="360" w:lineRule="auto"/>
        <w:jc w:val="both"/>
        <w:rPr>
          <w:rFonts w:ascii="Times New Roman" w:hAnsi="Times New Roman" w:cs="Times New Roman"/>
          <w:sz w:val="24"/>
          <w:szCs w:val="24"/>
        </w:rPr>
      </w:pPr>
      <w:r w:rsidRPr="0032657C">
        <w:rPr>
          <w:rFonts w:ascii="Times New Roman" w:hAnsi="Times New Roman" w:cs="Times New Roman"/>
          <w:sz w:val="24"/>
          <w:szCs w:val="24"/>
        </w:rPr>
        <w:t>(3)</w:t>
      </w:r>
      <w:r>
        <w:rPr>
          <w:rFonts w:ascii="Times New Roman" w:hAnsi="Times New Roman" w:cs="Times New Roman"/>
          <w:sz w:val="24"/>
          <w:szCs w:val="24"/>
        </w:rPr>
        <w:t xml:space="preserve"> </w:t>
      </w:r>
      <w:r w:rsidRPr="0032657C">
        <w:rPr>
          <w:rFonts w:ascii="Times New Roman" w:hAnsi="Times New Roman" w:cs="Times New Roman"/>
          <w:i/>
          <w:sz w:val="24"/>
          <w:szCs w:val="24"/>
        </w:rPr>
        <w:t xml:space="preserve">General Enrichment </w:t>
      </w:r>
      <w:r w:rsidR="00946331">
        <w:rPr>
          <w:rFonts w:ascii="Times New Roman" w:hAnsi="Times New Roman" w:cs="Times New Roman"/>
          <w:i/>
          <w:sz w:val="24"/>
          <w:szCs w:val="24"/>
        </w:rPr>
        <w:t xml:space="preserve">Principle </w:t>
      </w:r>
      <w:r w:rsidR="00946331" w:rsidRPr="00946331">
        <w:rPr>
          <w:rFonts w:ascii="Times New Roman" w:hAnsi="Times New Roman" w:cs="Times New Roman"/>
          <w:sz w:val="24"/>
          <w:szCs w:val="24"/>
        </w:rPr>
        <w:t>(</w:t>
      </w:r>
      <w:r w:rsidRPr="0032657C">
        <w:rPr>
          <w:rFonts w:ascii="Times New Roman" w:hAnsi="Times New Roman" w:cs="Times New Roman"/>
          <w:i/>
          <w:sz w:val="24"/>
          <w:szCs w:val="24"/>
        </w:rPr>
        <w:t>Action</w:t>
      </w:r>
      <w:r w:rsidR="00946331" w:rsidRPr="00946331">
        <w:rPr>
          <w:rFonts w:ascii="Times New Roman" w:hAnsi="Times New Roman" w:cs="Times New Roman"/>
          <w:sz w:val="24"/>
          <w:szCs w:val="24"/>
        </w:rPr>
        <w:t>)</w:t>
      </w:r>
    </w:p>
    <w:p w14:paraId="50419258" w14:textId="77777777" w:rsidR="00A21D86" w:rsidRPr="00A15255" w:rsidRDefault="00A21D86" w:rsidP="001B7110">
      <w:pPr>
        <w:spacing w:after="0" w:line="360" w:lineRule="auto"/>
        <w:jc w:val="both"/>
        <w:rPr>
          <w:rFonts w:ascii="Times New Roman" w:hAnsi="Times New Roman" w:cs="Times New Roman"/>
          <w:sz w:val="24"/>
          <w:szCs w:val="24"/>
        </w:rPr>
      </w:pPr>
      <w:r w:rsidRPr="00A15255">
        <w:rPr>
          <w:rFonts w:ascii="Times New Roman" w:hAnsi="Times New Roman" w:cs="Times New Roman"/>
          <w:sz w:val="24"/>
          <w:szCs w:val="24"/>
        </w:rPr>
        <w:t xml:space="preserve">In the hearing of the appeal </w:t>
      </w:r>
      <w:r w:rsidR="00946331">
        <w:rPr>
          <w:rFonts w:ascii="Times New Roman" w:hAnsi="Times New Roman" w:cs="Times New Roman"/>
          <w:sz w:val="24"/>
          <w:szCs w:val="24"/>
        </w:rPr>
        <w:t xml:space="preserve">of </w:t>
      </w:r>
      <w:r w:rsidR="00946331" w:rsidRPr="00946331">
        <w:rPr>
          <w:rFonts w:ascii="Times New Roman" w:hAnsi="Times New Roman" w:cs="Times New Roman"/>
          <w:i/>
          <w:sz w:val="24"/>
          <w:szCs w:val="24"/>
        </w:rPr>
        <w:t xml:space="preserve">Dollar Land </w:t>
      </w:r>
      <w:r w:rsidRPr="00A15255">
        <w:rPr>
          <w:rFonts w:ascii="Times New Roman" w:hAnsi="Times New Roman" w:cs="Times New Roman"/>
          <w:sz w:val="24"/>
          <w:szCs w:val="24"/>
        </w:rPr>
        <w:t xml:space="preserve">before the House of Lords (1998) </w:t>
      </w:r>
      <w:r>
        <w:rPr>
          <w:rFonts w:ascii="Times New Roman" w:hAnsi="Times New Roman" w:cs="Times New Roman"/>
          <w:sz w:val="24"/>
          <w:szCs w:val="24"/>
        </w:rPr>
        <w:t>Lord Hope</w:t>
      </w:r>
      <w:r w:rsidRPr="00A15255">
        <w:rPr>
          <w:rFonts w:ascii="Times New Roman" w:hAnsi="Times New Roman" w:cs="Times New Roman"/>
          <w:sz w:val="24"/>
          <w:szCs w:val="24"/>
        </w:rPr>
        <w:t xml:space="preserve"> said:</w:t>
      </w:r>
      <w:r w:rsidR="00946331" w:rsidRPr="00946331">
        <w:rPr>
          <w:rFonts w:ascii="Times New Roman" w:hAnsi="Times New Roman" w:cs="Times New Roman"/>
          <w:sz w:val="24"/>
          <w:szCs w:val="24"/>
          <w:vertAlign w:val="superscript"/>
        </w:rPr>
        <w:t xml:space="preserve"> </w:t>
      </w:r>
      <w:r w:rsidR="00946331" w:rsidRPr="00946331">
        <w:rPr>
          <w:rFonts w:ascii="Times New Roman" w:hAnsi="Times New Roman" w:cs="Times New Roman"/>
          <w:sz w:val="24"/>
          <w:szCs w:val="24"/>
          <w:vertAlign w:val="superscript"/>
        </w:rPr>
        <w:footnoteReference w:id="16"/>
      </w:r>
    </w:p>
    <w:p w14:paraId="7E980C63" w14:textId="27C5CDC7" w:rsidR="00A21D86" w:rsidRPr="00946331" w:rsidRDefault="00A21D86" w:rsidP="00A21D86">
      <w:pPr>
        <w:spacing w:after="0" w:line="240" w:lineRule="auto"/>
        <w:ind w:left="284"/>
        <w:jc w:val="both"/>
        <w:rPr>
          <w:rFonts w:ascii="Times New Roman" w:hAnsi="Times New Roman" w:cs="Times New Roman"/>
          <w:sz w:val="24"/>
          <w:szCs w:val="24"/>
        </w:rPr>
      </w:pPr>
      <w:r w:rsidRPr="00946331">
        <w:rPr>
          <w:rFonts w:ascii="Times New Roman" w:hAnsi="Times New Roman" w:cs="Times New Roman"/>
          <w:sz w:val="24"/>
          <w:szCs w:val="24"/>
        </w:rPr>
        <w:t xml:space="preserve">The event which gives rise to the granting of the remedy is the enrichment. </w:t>
      </w:r>
      <w:r w:rsidRPr="00946331">
        <w:rPr>
          <w:rFonts w:ascii="Times New Roman" w:hAnsi="Times New Roman" w:cs="Times New Roman"/>
          <w:i/>
          <w:sz w:val="24"/>
          <w:szCs w:val="24"/>
        </w:rPr>
        <w:t>In general terms</w:t>
      </w:r>
      <w:r w:rsidRPr="00946331">
        <w:rPr>
          <w:rFonts w:ascii="Times New Roman" w:hAnsi="Times New Roman" w:cs="Times New Roman"/>
          <w:sz w:val="24"/>
          <w:szCs w:val="24"/>
        </w:rPr>
        <w:t xml:space="preserve"> it may be said that the remedy is available where the enrichment </w:t>
      </w:r>
      <w:r w:rsidRPr="00946331">
        <w:rPr>
          <w:rFonts w:ascii="Times New Roman" w:hAnsi="Times New Roman" w:cs="Times New Roman"/>
          <w:i/>
          <w:sz w:val="24"/>
          <w:szCs w:val="24"/>
        </w:rPr>
        <w:t>lacks a legal ground to justify the retention of the benefit</w:t>
      </w:r>
      <w:r w:rsidRPr="00946331">
        <w:rPr>
          <w:rFonts w:ascii="Times New Roman" w:hAnsi="Times New Roman" w:cs="Times New Roman"/>
          <w:sz w:val="24"/>
          <w:szCs w:val="24"/>
        </w:rPr>
        <w:t>. In such circumstances it is held to be unjust.</w:t>
      </w:r>
      <w:r w:rsidR="00393CF1">
        <w:rPr>
          <w:rFonts w:ascii="Times New Roman" w:hAnsi="Times New Roman" w:cs="Times New Roman"/>
          <w:sz w:val="24"/>
          <w:szCs w:val="24"/>
        </w:rPr>
        <w:t xml:space="preserve"> (emphasis supplied) </w:t>
      </w:r>
    </w:p>
    <w:p w14:paraId="2A202AAD" w14:textId="77777777" w:rsidR="00DD7587" w:rsidRDefault="00DD7587" w:rsidP="00D5166B">
      <w:pPr>
        <w:spacing w:after="0" w:line="360" w:lineRule="auto"/>
        <w:jc w:val="both"/>
        <w:rPr>
          <w:rFonts w:ascii="Times New Roman" w:hAnsi="Times New Roman" w:cs="Times New Roman"/>
          <w:i/>
          <w:sz w:val="24"/>
          <w:szCs w:val="24"/>
        </w:rPr>
      </w:pPr>
    </w:p>
    <w:p w14:paraId="2F11FA4D" w14:textId="08DB4437" w:rsidR="00DD7587" w:rsidRPr="00393CF1" w:rsidRDefault="00183AAD" w:rsidP="00D5166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principle </w:t>
      </w:r>
      <w:r w:rsidR="00545198">
        <w:rPr>
          <w:rFonts w:ascii="Times New Roman" w:hAnsi="Times New Roman" w:cs="Times New Roman"/>
          <w:sz w:val="24"/>
          <w:szCs w:val="24"/>
          <w:lang w:val="en-US"/>
        </w:rPr>
        <w:t xml:space="preserve">“(retention) without a legal basis” </w:t>
      </w:r>
      <w:r>
        <w:rPr>
          <w:rFonts w:ascii="Times New Roman" w:hAnsi="Times New Roman" w:cs="Times New Roman"/>
          <w:sz w:val="24"/>
          <w:szCs w:val="24"/>
          <w:lang w:val="en-US"/>
        </w:rPr>
        <w:t xml:space="preserve">started life </w:t>
      </w:r>
      <w:r w:rsidR="00AE4F72" w:rsidRPr="00AE4F72">
        <w:rPr>
          <w:rFonts w:ascii="Times New Roman" w:hAnsi="Times New Roman" w:cs="Times New Roman"/>
          <w:sz w:val="24"/>
          <w:szCs w:val="24"/>
          <w:lang w:val="en-US"/>
        </w:rPr>
        <w:t xml:space="preserve">in </w:t>
      </w:r>
      <w:r w:rsidR="00A3731C">
        <w:rPr>
          <w:rFonts w:ascii="Times New Roman" w:hAnsi="Times New Roman" w:cs="Times New Roman"/>
          <w:sz w:val="24"/>
          <w:szCs w:val="24"/>
          <w:lang w:val="en-US"/>
        </w:rPr>
        <w:t xml:space="preserve">“actional” terms in </w:t>
      </w:r>
      <w:r w:rsidR="00AE4F72" w:rsidRPr="00AE4F72">
        <w:rPr>
          <w:rFonts w:ascii="Times New Roman" w:hAnsi="Times New Roman" w:cs="Times New Roman"/>
          <w:sz w:val="24"/>
          <w:szCs w:val="24"/>
          <w:lang w:val="en-US"/>
        </w:rPr>
        <w:t xml:space="preserve">Roman law </w:t>
      </w:r>
      <w:r w:rsidR="00545198">
        <w:rPr>
          <w:rFonts w:ascii="Times New Roman" w:hAnsi="Times New Roman" w:cs="Times New Roman"/>
          <w:sz w:val="24"/>
          <w:szCs w:val="24"/>
          <w:lang w:val="en-US"/>
        </w:rPr>
        <w:t xml:space="preserve">as the foundation of the </w:t>
      </w:r>
      <w:r w:rsidRPr="00183AAD">
        <w:rPr>
          <w:rFonts w:ascii="Times New Roman" w:hAnsi="Times New Roman" w:cs="Times New Roman"/>
          <w:i/>
          <w:sz w:val="24"/>
          <w:szCs w:val="24"/>
          <w:lang w:val="en-US"/>
        </w:rPr>
        <w:t>condictio sine causa</w:t>
      </w:r>
      <w:r>
        <w:rPr>
          <w:rFonts w:ascii="Times New Roman" w:hAnsi="Times New Roman" w:cs="Times New Roman"/>
          <w:sz w:val="24"/>
          <w:szCs w:val="24"/>
          <w:lang w:val="en-US"/>
        </w:rPr>
        <w:t xml:space="preserve">. Until recently it was applied in Scots law as a broad principle to </w:t>
      </w:r>
      <w:r w:rsidRPr="00183AAD">
        <w:rPr>
          <w:rFonts w:ascii="Times New Roman" w:hAnsi="Times New Roman" w:cs="Times New Roman"/>
          <w:i/>
          <w:sz w:val="24"/>
          <w:szCs w:val="24"/>
          <w:lang w:val="en-US"/>
        </w:rPr>
        <w:t>condictio</w:t>
      </w:r>
      <w:r>
        <w:rPr>
          <w:rFonts w:ascii="Times New Roman" w:hAnsi="Times New Roman" w:cs="Times New Roman"/>
          <w:sz w:val="24"/>
          <w:szCs w:val="24"/>
          <w:lang w:val="en-US"/>
        </w:rPr>
        <w:t xml:space="preserve"> claims alone. However, it is now</w:t>
      </w:r>
      <w:r w:rsidR="00393CF1">
        <w:rPr>
          <w:rFonts w:ascii="Times New Roman" w:hAnsi="Times New Roman" w:cs="Times New Roman"/>
          <w:sz w:val="24"/>
          <w:szCs w:val="24"/>
          <w:lang w:val="en-US"/>
        </w:rPr>
        <w:t xml:space="preserve">, </w:t>
      </w:r>
      <w:r w:rsidR="00393CF1" w:rsidRPr="00393CF1">
        <w:rPr>
          <w:rFonts w:ascii="Times New Roman" w:hAnsi="Times New Roman" w:cs="Times New Roman"/>
          <w:i/>
          <w:sz w:val="24"/>
          <w:szCs w:val="24"/>
          <w:lang w:val="en-US"/>
        </w:rPr>
        <w:t>ex facie</w:t>
      </w:r>
      <w:r w:rsidR="00393CF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E2CFE">
        <w:rPr>
          <w:rFonts w:ascii="Times New Roman" w:hAnsi="Times New Roman" w:cs="Times New Roman"/>
          <w:sz w:val="24"/>
          <w:szCs w:val="24"/>
          <w:lang w:val="en-US"/>
        </w:rPr>
        <w:t>the</w:t>
      </w:r>
      <w:r>
        <w:rPr>
          <w:rFonts w:ascii="Times New Roman" w:hAnsi="Times New Roman" w:cs="Times New Roman"/>
          <w:sz w:val="24"/>
          <w:szCs w:val="24"/>
          <w:lang w:val="en-US"/>
        </w:rPr>
        <w:t xml:space="preserve"> single </w:t>
      </w:r>
      <w:r w:rsidR="00545198">
        <w:rPr>
          <w:rFonts w:ascii="Times New Roman" w:hAnsi="Times New Roman" w:cs="Times New Roman"/>
          <w:sz w:val="24"/>
          <w:szCs w:val="24"/>
          <w:lang w:val="en-US"/>
        </w:rPr>
        <w:t>general</w:t>
      </w:r>
      <w:r w:rsidR="00277F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criterion of liability </w:t>
      </w:r>
      <w:r w:rsidR="007E37CE">
        <w:rPr>
          <w:rFonts w:ascii="Times New Roman" w:hAnsi="Times New Roman" w:cs="Times New Roman"/>
          <w:sz w:val="24"/>
          <w:szCs w:val="24"/>
          <w:lang w:val="en-US"/>
        </w:rPr>
        <w:t xml:space="preserve">(cause of action) </w:t>
      </w:r>
      <w:r w:rsidR="00EE2CFE">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all claims </w:t>
      </w:r>
      <w:r w:rsidR="00631205">
        <w:rPr>
          <w:rFonts w:ascii="Times New Roman" w:hAnsi="Times New Roman" w:cs="Times New Roman"/>
          <w:sz w:val="24"/>
          <w:szCs w:val="24"/>
          <w:lang w:val="en-US"/>
        </w:rPr>
        <w:t xml:space="preserve">of unjustified enrichment. </w:t>
      </w:r>
      <w:r w:rsidR="00393CF1">
        <w:rPr>
          <w:rFonts w:ascii="Times New Roman" w:hAnsi="Times New Roman" w:cs="Times New Roman"/>
          <w:sz w:val="24"/>
          <w:szCs w:val="24"/>
          <w:lang w:val="en-US"/>
        </w:rPr>
        <w:t>Its</w:t>
      </w:r>
      <w:r w:rsidR="00545198">
        <w:rPr>
          <w:rFonts w:ascii="Times New Roman" w:hAnsi="Times New Roman" w:cs="Times New Roman"/>
          <w:b/>
          <w:sz w:val="24"/>
          <w:szCs w:val="24"/>
        </w:rPr>
        <w:t xml:space="preserve"> </w:t>
      </w:r>
      <w:r w:rsidR="00EE7DAE" w:rsidRPr="00393CF1">
        <w:rPr>
          <w:rFonts w:ascii="Times New Roman" w:hAnsi="Times New Roman" w:cs="Times New Roman"/>
          <w:sz w:val="24"/>
          <w:szCs w:val="24"/>
        </w:rPr>
        <w:t xml:space="preserve">recognition </w:t>
      </w:r>
      <w:r w:rsidR="00545198">
        <w:rPr>
          <w:rFonts w:ascii="Times New Roman" w:hAnsi="Times New Roman" w:cs="Times New Roman"/>
          <w:sz w:val="24"/>
          <w:szCs w:val="24"/>
        </w:rPr>
        <w:t xml:space="preserve">as such </w:t>
      </w:r>
      <w:r w:rsidR="00EE7DAE" w:rsidRPr="00393CF1">
        <w:rPr>
          <w:rFonts w:ascii="Times New Roman" w:hAnsi="Times New Roman" w:cs="Times New Roman"/>
          <w:sz w:val="24"/>
          <w:szCs w:val="24"/>
        </w:rPr>
        <w:t>did not arise from the need to address a novel fact situation</w:t>
      </w:r>
      <w:r w:rsidR="00070B4E" w:rsidRPr="00393CF1">
        <w:rPr>
          <w:rFonts w:ascii="Times New Roman" w:hAnsi="Times New Roman" w:cs="Times New Roman"/>
          <w:sz w:val="24"/>
          <w:szCs w:val="24"/>
        </w:rPr>
        <w:t xml:space="preserve"> as, we have been told, will </w:t>
      </w:r>
      <w:r w:rsidR="009B5137" w:rsidRPr="00393CF1">
        <w:rPr>
          <w:rFonts w:ascii="Times New Roman" w:hAnsi="Times New Roman" w:cs="Times New Roman"/>
          <w:sz w:val="24"/>
          <w:szCs w:val="24"/>
        </w:rPr>
        <w:t xml:space="preserve">have to be the case </w:t>
      </w:r>
      <w:r w:rsidR="00070B4E" w:rsidRPr="00393CF1">
        <w:rPr>
          <w:rFonts w:ascii="Times New Roman" w:hAnsi="Times New Roman" w:cs="Times New Roman"/>
          <w:sz w:val="24"/>
          <w:szCs w:val="24"/>
        </w:rPr>
        <w:t>in South Africa.</w:t>
      </w:r>
      <w:bookmarkStart w:id="7" w:name="_Ref525825120"/>
      <w:r w:rsidR="00277F20">
        <w:rPr>
          <w:rStyle w:val="FootnoteReference"/>
          <w:rFonts w:ascii="Times New Roman" w:hAnsi="Times New Roman" w:cs="Times New Roman"/>
          <w:sz w:val="24"/>
          <w:szCs w:val="24"/>
        </w:rPr>
        <w:footnoteReference w:id="17"/>
      </w:r>
      <w:bookmarkEnd w:id="7"/>
      <w:r w:rsidR="00EE7DAE" w:rsidRPr="00393CF1">
        <w:rPr>
          <w:rFonts w:ascii="Times New Roman" w:hAnsi="Times New Roman" w:cs="Times New Roman"/>
          <w:sz w:val="24"/>
          <w:szCs w:val="24"/>
        </w:rPr>
        <w:t xml:space="preserve"> </w:t>
      </w:r>
      <w:r w:rsidR="00A3731C" w:rsidRPr="00393CF1">
        <w:rPr>
          <w:rFonts w:ascii="Times New Roman" w:hAnsi="Times New Roman" w:cs="Times New Roman"/>
          <w:sz w:val="24"/>
          <w:szCs w:val="24"/>
        </w:rPr>
        <w:t>D</w:t>
      </w:r>
      <w:r w:rsidR="00DD1CAD" w:rsidRPr="00393CF1">
        <w:rPr>
          <w:rFonts w:ascii="Times New Roman" w:hAnsi="Times New Roman" w:cs="Times New Roman"/>
          <w:sz w:val="24"/>
          <w:szCs w:val="24"/>
        </w:rPr>
        <w:t>rawing from modern civilian system</w:t>
      </w:r>
      <w:r w:rsidR="009B5137" w:rsidRPr="00393CF1">
        <w:rPr>
          <w:rFonts w:ascii="Times New Roman" w:hAnsi="Times New Roman" w:cs="Times New Roman"/>
          <w:sz w:val="24"/>
          <w:szCs w:val="24"/>
        </w:rPr>
        <w:t>s</w:t>
      </w:r>
      <w:r w:rsidR="00DD1CAD" w:rsidRPr="00393CF1">
        <w:rPr>
          <w:rFonts w:ascii="Times New Roman" w:hAnsi="Times New Roman" w:cs="Times New Roman"/>
          <w:sz w:val="24"/>
          <w:szCs w:val="24"/>
        </w:rPr>
        <w:t xml:space="preserve"> of law, i</w:t>
      </w:r>
      <w:r w:rsidR="00EE7DAE" w:rsidRPr="00393CF1">
        <w:rPr>
          <w:rFonts w:ascii="Times New Roman" w:hAnsi="Times New Roman" w:cs="Times New Roman"/>
          <w:sz w:val="24"/>
          <w:szCs w:val="24"/>
        </w:rPr>
        <w:t xml:space="preserve">t </w:t>
      </w:r>
      <w:r w:rsidR="00A3731C" w:rsidRPr="00393CF1">
        <w:rPr>
          <w:rFonts w:ascii="Times New Roman" w:hAnsi="Times New Roman" w:cs="Times New Roman"/>
          <w:sz w:val="24"/>
          <w:szCs w:val="24"/>
        </w:rPr>
        <w:t xml:space="preserve">was </w:t>
      </w:r>
      <w:r w:rsidR="00393CF1">
        <w:rPr>
          <w:rFonts w:ascii="Times New Roman" w:hAnsi="Times New Roman" w:cs="Times New Roman"/>
          <w:sz w:val="24"/>
          <w:szCs w:val="24"/>
        </w:rPr>
        <w:t xml:space="preserve">regarded as </w:t>
      </w:r>
      <w:r w:rsidR="00EE7DAE" w:rsidRPr="00393CF1">
        <w:rPr>
          <w:rFonts w:ascii="Times New Roman" w:hAnsi="Times New Roman" w:cs="Times New Roman"/>
          <w:sz w:val="24"/>
          <w:szCs w:val="24"/>
        </w:rPr>
        <w:t>an organic, natural, development</w:t>
      </w:r>
      <w:r w:rsidR="00070B4E" w:rsidRPr="00393CF1">
        <w:rPr>
          <w:rFonts w:ascii="Times New Roman" w:hAnsi="Times New Roman" w:cs="Times New Roman"/>
          <w:sz w:val="24"/>
          <w:szCs w:val="24"/>
        </w:rPr>
        <w:t xml:space="preserve"> of </w:t>
      </w:r>
      <w:r w:rsidR="00545198">
        <w:rPr>
          <w:rFonts w:ascii="Times New Roman" w:hAnsi="Times New Roman" w:cs="Times New Roman"/>
          <w:sz w:val="24"/>
          <w:szCs w:val="24"/>
        </w:rPr>
        <w:t xml:space="preserve">Scots </w:t>
      </w:r>
      <w:r w:rsidR="00070B4E" w:rsidRPr="00393CF1">
        <w:rPr>
          <w:rFonts w:ascii="Times New Roman" w:hAnsi="Times New Roman" w:cs="Times New Roman"/>
          <w:sz w:val="24"/>
          <w:szCs w:val="24"/>
        </w:rPr>
        <w:t>law</w:t>
      </w:r>
      <w:r w:rsidR="00070B4E" w:rsidRPr="0074254F">
        <w:rPr>
          <w:rFonts w:ascii="Times New Roman" w:hAnsi="Times New Roman" w:cs="Times New Roman"/>
          <w:b/>
          <w:sz w:val="24"/>
          <w:szCs w:val="24"/>
        </w:rPr>
        <w:t>.</w:t>
      </w:r>
      <w:r w:rsidR="00EE7DAE" w:rsidRPr="0074254F">
        <w:rPr>
          <w:rFonts w:ascii="Times New Roman" w:hAnsi="Times New Roman" w:cs="Times New Roman"/>
          <w:b/>
          <w:sz w:val="24"/>
          <w:szCs w:val="24"/>
        </w:rPr>
        <w:t xml:space="preserve"> </w:t>
      </w:r>
      <w:r w:rsidR="00EE7DAE" w:rsidRPr="0074254F">
        <w:rPr>
          <w:rFonts w:ascii="Times New Roman" w:hAnsi="Times New Roman" w:cs="Times New Roman"/>
          <w:sz w:val="24"/>
          <w:szCs w:val="24"/>
        </w:rPr>
        <w:t>Was it worthwhile? Views no doubt differ.</w:t>
      </w:r>
      <w:r w:rsidR="0074254F" w:rsidRPr="0074254F">
        <w:rPr>
          <w:rFonts w:ascii="Times New Roman" w:hAnsi="Times New Roman" w:cs="Times New Roman"/>
          <w:sz w:val="24"/>
          <w:szCs w:val="24"/>
        </w:rPr>
        <w:t xml:space="preserve"> The </w:t>
      </w:r>
      <w:r w:rsidR="00F765BA">
        <w:rPr>
          <w:rFonts w:ascii="Times New Roman" w:hAnsi="Times New Roman" w:cs="Times New Roman"/>
          <w:sz w:val="24"/>
          <w:szCs w:val="24"/>
        </w:rPr>
        <w:t>general principle</w:t>
      </w:r>
      <w:r w:rsidR="0074254F" w:rsidRPr="0074254F">
        <w:rPr>
          <w:rFonts w:ascii="Times New Roman" w:hAnsi="Times New Roman" w:cs="Times New Roman"/>
          <w:sz w:val="24"/>
          <w:szCs w:val="24"/>
        </w:rPr>
        <w:t xml:space="preserve"> potentially provide</w:t>
      </w:r>
      <w:r w:rsidR="00F765BA">
        <w:rPr>
          <w:rFonts w:ascii="Times New Roman" w:hAnsi="Times New Roman" w:cs="Times New Roman"/>
          <w:sz w:val="24"/>
          <w:szCs w:val="24"/>
        </w:rPr>
        <w:t>s</w:t>
      </w:r>
      <w:r w:rsidR="0074254F" w:rsidRPr="0074254F">
        <w:rPr>
          <w:rFonts w:ascii="Times New Roman" w:hAnsi="Times New Roman" w:cs="Times New Roman"/>
          <w:sz w:val="24"/>
          <w:szCs w:val="24"/>
        </w:rPr>
        <w:t xml:space="preserve"> a framework around which claims in unjustified enrichment can be analysed and by doing so assist in the determination of their scope and interrelationships.</w:t>
      </w:r>
      <w:r w:rsidR="00EE7DAE" w:rsidRPr="0074254F">
        <w:rPr>
          <w:rFonts w:ascii="Times New Roman" w:hAnsi="Times New Roman" w:cs="Times New Roman"/>
          <w:sz w:val="24"/>
          <w:szCs w:val="24"/>
        </w:rPr>
        <w:t xml:space="preserve"> Visser has</w:t>
      </w:r>
      <w:r w:rsidR="00EE7DAE" w:rsidRPr="00EE7DAE">
        <w:rPr>
          <w:rFonts w:ascii="Times New Roman" w:hAnsi="Times New Roman" w:cs="Times New Roman"/>
          <w:sz w:val="24"/>
          <w:szCs w:val="24"/>
        </w:rPr>
        <w:t xml:space="preserve"> suggested that come the day of its recognition in South Africa, it will be the </w:t>
      </w:r>
      <w:r w:rsidR="00EE7DAE" w:rsidRPr="00EE7DAE">
        <w:rPr>
          <w:rFonts w:ascii="Times New Roman" w:hAnsi="Times New Roman" w:cs="Times New Roman"/>
          <w:i/>
          <w:sz w:val="24"/>
          <w:szCs w:val="24"/>
        </w:rPr>
        <w:t>Donoghue v Stevenson</w:t>
      </w:r>
      <w:r w:rsidR="00EE7DAE" w:rsidRPr="00EE7DAE">
        <w:rPr>
          <w:rFonts w:ascii="Times New Roman" w:hAnsi="Times New Roman" w:cs="Times New Roman"/>
          <w:sz w:val="24"/>
          <w:szCs w:val="24"/>
          <w:vertAlign w:val="superscript"/>
        </w:rPr>
        <w:footnoteReference w:id="18"/>
      </w:r>
      <w:r w:rsidR="00EE7DAE" w:rsidRPr="00EE7DAE">
        <w:rPr>
          <w:rFonts w:ascii="Times New Roman" w:hAnsi="Times New Roman" w:cs="Times New Roman"/>
          <w:sz w:val="24"/>
          <w:szCs w:val="24"/>
        </w:rPr>
        <w:t xml:space="preserve"> of the law of unjustified enrichment.</w:t>
      </w:r>
      <w:r w:rsidR="00EE7DAE" w:rsidRPr="00EE7DAE">
        <w:rPr>
          <w:rFonts w:ascii="Times New Roman" w:hAnsi="Times New Roman" w:cs="Times New Roman"/>
          <w:sz w:val="24"/>
          <w:szCs w:val="24"/>
          <w:vertAlign w:val="superscript"/>
        </w:rPr>
        <w:footnoteReference w:id="19"/>
      </w:r>
      <w:r w:rsidR="00EE7DAE" w:rsidRPr="00EE7DAE">
        <w:rPr>
          <w:rFonts w:ascii="Times New Roman" w:hAnsi="Times New Roman" w:cs="Times New Roman"/>
          <w:sz w:val="24"/>
          <w:szCs w:val="24"/>
        </w:rPr>
        <w:t xml:space="preserve"> </w:t>
      </w:r>
    </w:p>
    <w:p w14:paraId="5FBC3270" w14:textId="77777777" w:rsidR="00DD7587" w:rsidRPr="00393CF1" w:rsidRDefault="00DD7587" w:rsidP="00D5166B">
      <w:pPr>
        <w:spacing w:after="0" w:line="360" w:lineRule="auto"/>
        <w:jc w:val="both"/>
        <w:rPr>
          <w:rFonts w:ascii="Times New Roman" w:hAnsi="Times New Roman" w:cs="Times New Roman"/>
          <w:i/>
          <w:sz w:val="24"/>
          <w:szCs w:val="24"/>
        </w:rPr>
      </w:pPr>
      <w:r w:rsidRPr="00393CF1">
        <w:rPr>
          <w:rFonts w:ascii="Times New Roman" w:hAnsi="Times New Roman" w:cs="Times New Roman"/>
          <w:i/>
          <w:sz w:val="24"/>
          <w:szCs w:val="24"/>
        </w:rPr>
        <w:t>Problems</w:t>
      </w:r>
    </w:p>
    <w:p w14:paraId="51E7E40E" w14:textId="77777777" w:rsidR="00EE7DAE" w:rsidRDefault="00DE5CE8" w:rsidP="00D516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issues concerning what is mean</w:t>
      </w:r>
      <w:r w:rsidR="0018753C">
        <w:rPr>
          <w:rFonts w:ascii="Times New Roman" w:hAnsi="Times New Roman" w:cs="Times New Roman"/>
          <w:sz w:val="24"/>
          <w:szCs w:val="24"/>
        </w:rPr>
        <w:t>t</w:t>
      </w:r>
      <w:r>
        <w:rPr>
          <w:rFonts w:ascii="Times New Roman" w:hAnsi="Times New Roman" w:cs="Times New Roman"/>
          <w:sz w:val="24"/>
          <w:szCs w:val="24"/>
        </w:rPr>
        <w:t xml:space="preserve"> by “general enrichment action” and what its proper function should be. Additionally for</w:t>
      </w:r>
      <w:r w:rsidR="009B5137">
        <w:rPr>
          <w:rFonts w:ascii="Times New Roman" w:hAnsi="Times New Roman" w:cs="Times New Roman"/>
          <w:sz w:val="24"/>
          <w:szCs w:val="24"/>
        </w:rPr>
        <w:t xml:space="preserve"> </w:t>
      </w:r>
      <w:r w:rsidR="0039509C">
        <w:rPr>
          <w:rFonts w:ascii="Times New Roman" w:hAnsi="Times New Roman" w:cs="Times New Roman"/>
          <w:sz w:val="24"/>
          <w:szCs w:val="24"/>
        </w:rPr>
        <w:t xml:space="preserve">Scottish </w:t>
      </w:r>
      <w:r w:rsidR="009B5137">
        <w:rPr>
          <w:rFonts w:ascii="Times New Roman" w:hAnsi="Times New Roman" w:cs="Times New Roman"/>
          <w:sz w:val="24"/>
          <w:szCs w:val="24"/>
        </w:rPr>
        <w:t>judges</w:t>
      </w:r>
      <w:r w:rsidR="00DD1CAD">
        <w:rPr>
          <w:rFonts w:ascii="Times New Roman" w:hAnsi="Times New Roman" w:cs="Times New Roman"/>
          <w:sz w:val="24"/>
          <w:szCs w:val="24"/>
        </w:rPr>
        <w:t xml:space="preserve"> trained in the way</w:t>
      </w:r>
      <w:r w:rsidR="009B5137">
        <w:rPr>
          <w:rFonts w:ascii="Times New Roman" w:hAnsi="Times New Roman" w:cs="Times New Roman"/>
          <w:sz w:val="24"/>
          <w:szCs w:val="24"/>
        </w:rPr>
        <w:t xml:space="preserve">s of the common law </w:t>
      </w:r>
      <w:r w:rsidR="00DD1CAD">
        <w:rPr>
          <w:rFonts w:ascii="Times New Roman" w:hAnsi="Times New Roman" w:cs="Times New Roman"/>
          <w:sz w:val="24"/>
          <w:szCs w:val="24"/>
        </w:rPr>
        <w:t xml:space="preserve">for whom </w:t>
      </w:r>
      <w:r w:rsidR="0039509C">
        <w:rPr>
          <w:rFonts w:ascii="Times New Roman" w:hAnsi="Times New Roman" w:cs="Times New Roman"/>
          <w:sz w:val="24"/>
          <w:szCs w:val="24"/>
        </w:rPr>
        <w:t xml:space="preserve">even </w:t>
      </w:r>
      <w:r w:rsidR="00DD1CAD">
        <w:rPr>
          <w:rFonts w:ascii="Times New Roman" w:hAnsi="Times New Roman" w:cs="Times New Roman"/>
          <w:sz w:val="24"/>
          <w:szCs w:val="24"/>
        </w:rPr>
        <w:t xml:space="preserve">“unjustified enrichment” </w:t>
      </w:r>
      <w:r w:rsidR="009B5137">
        <w:rPr>
          <w:rFonts w:ascii="Times New Roman" w:hAnsi="Times New Roman" w:cs="Times New Roman"/>
          <w:sz w:val="24"/>
          <w:szCs w:val="24"/>
        </w:rPr>
        <w:t xml:space="preserve">itself is </w:t>
      </w:r>
      <w:r w:rsidR="0039509C">
        <w:rPr>
          <w:rFonts w:ascii="Times New Roman" w:hAnsi="Times New Roman" w:cs="Times New Roman"/>
          <w:sz w:val="24"/>
          <w:szCs w:val="24"/>
        </w:rPr>
        <w:t xml:space="preserve">not </w:t>
      </w:r>
      <w:r w:rsidR="009B5137">
        <w:rPr>
          <w:rFonts w:ascii="Times New Roman" w:hAnsi="Times New Roman" w:cs="Times New Roman"/>
          <w:sz w:val="24"/>
          <w:szCs w:val="24"/>
        </w:rPr>
        <w:t xml:space="preserve">a </w:t>
      </w:r>
      <w:r w:rsidR="0039509C">
        <w:rPr>
          <w:rFonts w:ascii="Times New Roman" w:hAnsi="Times New Roman" w:cs="Times New Roman"/>
          <w:sz w:val="24"/>
          <w:szCs w:val="24"/>
        </w:rPr>
        <w:t xml:space="preserve">wholly familiar </w:t>
      </w:r>
      <w:r>
        <w:rPr>
          <w:rFonts w:ascii="Times New Roman" w:hAnsi="Times New Roman" w:cs="Times New Roman"/>
          <w:sz w:val="24"/>
          <w:szCs w:val="24"/>
        </w:rPr>
        <w:t>concept,</w:t>
      </w:r>
      <w:r w:rsidR="009B5137">
        <w:rPr>
          <w:rFonts w:ascii="Times New Roman" w:hAnsi="Times New Roman" w:cs="Times New Roman"/>
          <w:sz w:val="24"/>
          <w:szCs w:val="24"/>
        </w:rPr>
        <w:t xml:space="preserve"> </w:t>
      </w:r>
      <w:r w:rsidRPr="00446633">
        <w:rPr>
          <w:rFonts w:ascii="Times New Roman" w:hAnsi="Times New Roman" w:cs="Times New Roman"/>
          <w:sz w:val="24"/>
          <w:szCs w:val="24"/>
        </w:rPr>
        <w:t>t</w:t>
      </w:r>
      <w:r w:rsidR="00EE7DAE" w:rsidRPr="00446633">
        <w:rPr>
          <w:rFonts w:ascii="Times New Roman" w:hAnsi="Times New Roman" w:cs="Times New Roman"/>
          <w:sz w:val="24"/>
          <w:szCs w:val="24"/>
        </w:rPr>
        <w:t xml:space="preserve">here have been </w:t>
      </w:r>
      <w:r w:rsidRPr="00446633">
        <w:rPr>
          <w:rFonts w:ascii="Times New Roman" w:hAnsi="Times New Roman" w:cs="Times New Roman"/>
          <w:sz w:val="24"/>
          <w:szCs w:val="24"/>
        </w:rPr>
        <w:t xml:space="preserve">challenges </w:t>
      </w:r>
      <w:r w:rsidR="00EE7DAE" w:rsidRPr="00446633">
        <w:rPr>
          <w:rFonts w:ascii="Times New Roman" w:hAnsi="Times New Roman" w:cs="Times New Roman"/>
          <w:sz w:val="24"/>
          <w:szCs w:val="24"/>
        </w:rPr>
        <w:t xml:space="preserve">in understanding what </w:t>
      </w:r>
      <w:r w:rsidR="0041440E" w:rsidRPr="00446633">
        <w:rPr>
          <w:rFonts w:ascii="Times New Roman" w:hAnsi="Times New Roman" w:cs="Times New Roman"/>
          <w:sz w:val="24"/>
          <w:szCs w:val="24"/>
        </w:rPr>
        <w:t>“retention without a legal ground</w:t>
      </w:r>
      <w:r w:rsidRPr="00446633">
        <w:rPr>
          <w:rFonts w:ascii="Times New Roman" w:hAnsi="Times New Roman" w:cs="Times New Roman"/>
          <w:sz w:val="24"/>
          <w:szCs w:val="24"/>
        </w:rPr>
        <w:t xml:space="preserve"> (</w:t>
      </w:r>
      <w:r w:rsidRPr="0018753C">
        <w:rPr>
          <w:rFonts w:ascii="Times New Roman" w:hAnsi="Times New Roman" w:cs="Times New Roman"/>
          <w:i/>
          <w:sz w:val="24"/>
          <w:szCs w:val="24"/>
        </w:rPr>
        <w:t>sine causa</w:t>
      </w:r>
      <w:r w:rsidRPr="00446633">
        <w:rPr>
          <w:rFonts w:ascii="Times New Roman" w:hAnsi="Times New Roman" w:cs="Times New Roman"/>
          <w:sz w:val="24"/>
          <w:szCs w:val="24"/>
        </w:rPr>
        <w:t>)</w:t>
      </w:r>
      <w:r w:rsidR="0041440E" w:rsidRPr="00446633">
        <w:rPr>
          <w:rFonts w:ascii="Times New Roman" w:hAnsi="Times New Roman" w:cs="Times New Roman"/>
          <w:sz w:val="24"/>
          <w:szCs w:val="24"/>
        </w:rPr>
        <w:t xml:space="preserve">” </w:t>
      </w:r>
      <w:r w:rsidR="00EE7DAE" w:rsidRPr="00446633">
        <w:rPr>
          <w:rFonts w:ascii="Times New Roman" w:hAnsi="Times New Roman" w:cs="Times New Roman"/>
          <w:sz w:val="24"/>
          <w:szCs w:val="24"/>
        </w:rPr>
        <w:t>means</w:t>
      </w:r>
      <w:r w:rsidR="00446633" w:rsidRPr="00446633">
        <w:rPr>
          <w:rFonts w:ascii="Times New Roman" w:hAnsi="Times New Roman" w:cs="Times New Roman"/>
          <w:sz w:val="24"/>
          <w:szCs w:val="24"/>
        </w:rPr>
        <w:t>.</w:t>
      </w:r>
      <w:r w:rsidR="00EE7DAE" w:rsidRPr="00446633">
        <w:rPr>
          <w:rFonts w:ascii="Times New Roman" w:hAnsi="Times New Roman" w:cs="Times New Roman"/>
          <w:sz w:val="24"/>
          <w:szCs w:val="24"/>
        </w:rPr>
        <w:t xml:space="preserve"> </w:t>
      </w:r>
      <w:r w:rsidR="00446633" w:rsidRPr="00446633">
        <w:rPr>
          <w:rFonts w:ascii="Times New Roman" w:hAnsi="Times New Roman" w:cs="Times New Roman"/>
          <w:sz w:val="24"/>
          <w:szCs w:val="24"/>
        </w:rPr>
        <w:t>I</w:t>
      </w:r>
      <w:r w:rsidR="00EE7DAE" w:rsidRPr="00446633">
        <w:rPr>
          <w:rFonts w:ascii="Times New Roman" w:hAnsi="Times New Roman" w:cs="Times New Roman"/>
          <w:sz w:val="24"/>
          <w:szCs w:val="24"/>
        </w:rPr>
        <w:t>t has been treated by some judges as a new beginning and not subsidiary to the established causes of action</w:t>
      </w:r>
      <w:r w:rsidR="008A6D80">
        <w:rPr>
          <w:rFonts w:ascii="Times New Roman" w:hAnsi="Times New Roman" w:cs="Times New Roman"/>
          <w:sz w:val="24"/>
          <w:szCs w:val="24"/>
        </w:rPr>
        <w:t xml:space="preserve"> of unjustified enrichment</w:t>
      </w:r>
      <w:r w:rsidR="00EE7DAE" w:rsidRPr="00446633">
        <w:rPr>
          <w:rFonts w:ascii="Times New Roman" w:hAnsi="Times New Roman" w:cs="Times New Roman"/>
          <w:sz w:val="24"/>
          <w:szCs w:val="24"/>
        </w:rPr>
        <w:t xml:space="preserve">. </w:t>
      </w:r>
      <w:r w:rsidR="00EE7DAE" w:rsidRPr="00EE7DAE">
        <w:rPr>
          <w:rFonts w:ascii="Times New Roman" w:hAnsi="Times New Roman" w:cs="Times New Roman"/>
          <w:sz w:val="24"/>
          <w:szCs w:val="24"/>
        </w:rPr>
        <w:t xml:space="preserve">Thereby it immediately </w:t>
      </w:r>
      <w:r w:rsidR="00070B4E">
        <w:rPr>
          <w:rFonts w:ascii="Times New Roman" w:hAnsi="Times New Roman" w:cs="Times New Roman"/>
          <w:sz w:val="24"/>
          <w:szCs w:val="24"/>
        </w:rPr>
        <w:t xml:space="preserve">started to go </w:t>
      </w:r>
      <w:r w:rsidR="0041440E">
        <w:rPr>
          <w:rFonts w:ascii="Times New Roman" w:hAnsi="Times New Roman" w:cs="Times New Roman"/>
          <w:sz w:val="24"/>
          <w:szCs w:val="24"/>
        </w:rPr>
        <w:t xml:space="preserve">seriously </w:t>
      </w:r>
      <w:r w:rsidR="00070B4E">
        <w:rPr>
          <w:rFonts w:ascii="Times New Roman" w:hAnsi="Times New Roman" w:cs="Times New Roman"/>
          <w:sz w:val="24"/>
          <w:szCs w:val="24"/>
        </w:rPr>
        <w:t xml:space="preserve">wrong. </w:t>
      </w:r>
      <w:r w:rsidR="0018753C" w:rsidRPr="0018753C">
        <w:rPr>
          <w:rFonts w:ascii="Times New Roman" w:hAnsi="Times New Roman" w:cs="Times New Roman"/>
          <w:sz w:val="24"/>
          <w:szCs w:val="24"/>
        </w:rPr>
        <w:t xml:space="preserve">In </w:t>
      </w:r>
      <w:r w:rsidR="0018753C" w:rsidRPr="0018753C">
        <w:rPr>
          <w:rFonts w:ascii="Times New Roman" w:hAnsi="Times New Roman" w:cs="Times New Roman"/>
          <w:i/>
          <w:sz w:val="24"/>
          <w:szCs w:val="24"/>
        </w:rPr>
        <w:t>McCarthy Retail</w:t>
      </w:r>
      <w:r w:rsidR="0018753C" w:rsidRPr="0018753C">
        <w:rPr>
          <w:rFonts w:ascii="Times New Roman" w:hAnsi="Times New Roman" w:cs="Times New Roman"/>
          <w:sz w:val="24"/>
          <w:szCs w:val="24"/>
        </w:rPr>
        <w:t xml:space="preserve"> Schutz J. identifies </w:t>
      </w:r>
      <w:r w:rsidR="0018753C">
        <w:rPr>
          <w:rFonts w:ascii="Times New Roman" w:hAnsi="Times New Roman" w:cs="Times New Roman"/>
          <w:sz w:val="24"/>
          <w:szCs w:val="24"/>
        </w:rPr>
        <w:t xml:space="preserve">these </w:t>
      </w:r>
      <w:r w:rsidR="001E68D8">
        <w:rPr>
          <w:rFonts w:ascii="Times New Roman" w:hAnsi="Times New Roman" w:cs="Times New Roman"/>
          <w:sz w:val="24"/>
          <w:szCs w:val="24"/>
        </w:rPr>
        <w:t xml:space="preserve">as the </w:t>
      </w:r>
      <w:r w:rsidR="00251DF9">
        <w:rPr>
          <w:rFonts w:ascii="Times New Roman" w:hAnsi="Times New Roman" w:cs="Times New Roman"/>
          <w:sz w:val="24"/>
          <w:szCs w:val="24"/>
        </w:rPr>
        <w:t xml:space="preserve">sorts of problems </w:t>
      </w:r>
      <w:r w:rsidR="001E68D8">
        <w:rPr>
          <w:rFonts w:ascii="Times New Roman" w:hAnsi="Times New Roman" w:cs="Times New Roman"/>
          <w:sz w:val="24"/>
          <w:szCs w:val="24"/>
        </w:rPr>
        <w:t>that have</w:t>
      </w:r>
      <w:r w:rsidR="0018753C" w:rsidRPr="0018753C">
        <w:rPr>
          <w:rFonts w:ascii="Times New Roman" w:hAnsi="Times New Roman" w:cs="Times New Roman"/>
          <w:sz w:val="24"/>
          <w:szCs w:val="24"/>
        </w:rPr>
        <w:t xml:space="preserve"> constrained </w:t>
      </w:r>
      <w:r w:rsidR="009968B1">
        <w:rPr>
          <w:rFonts w:ascii="Times New Roman" w:hAnsi="Times New Roman" w:cs="Times New Roman"/>
          <w:sz w:val="24"/>
          <w:szCs w:val="24"/>
        </w:rPr>
        <w:t xml:space="preserve">the </w:t>
      </w:r>
      <w:r w:rsidR="0018753C">
        <w:rPr>
          <w:rFonts w:ascii="Times New Roman" w:hAnsi="Times New Roman" w:cs="Times New Roman"/>
          <w:sz w:val="24"/>
          <w:szCs w:val="24"/>
        </w:rPr>
        <w:t>recogni</w:t>
      </w:r>
      <w:r w:rsidR="008A6D80">
        <w:rPr>
          <w:rFonts w:ascii="Times New Roman" w:hAnsi="Times New Roman" w:cs="Times New Roman"/>
          <w:sz w:val="24"/>
          <w:szCs w:val="24"/>
        </w:rPr>
        <w:t>ti</w:t>
      </w:r>
      <w:r w:rsidR="001E68D8">
        <w:rPr>
          <w:rFonts w:ascii="Times New Roman" w:hAnsi="Times New Roman" w:cs="Times New Roman"/>
          <w:sz w:val="24"/>
          <w:szCs w:val="24"/>
        </w:rPr>
        <w:t>on of a</w:t>
      </w:r>
      <w:r w:rsidR="0018753C">
        <w:rPr>
          <w:rFonts w:ascii="Times New Roman" w:hAnsi="Times New Roman" w:cs="Times New Roman"/>
          <w:sz w:val="24"/>
          <w:szCs w:val="24"/>
        </w:rPr>
        <w:t xml:space="preserve"> general “action”</w:t>
      </w:r>
      <w:r w:rsidR="001E68D8">
        <w:rPr>
          <w:rFonts w:ascii="Times New Roman" w:hAnsi="Times New Roman" w:cs="Times New Roman"/>
          <w:sz w:val="24"/>
          <w:szCs w:val="24"/>
        </w:rPr>
        <w:t xml:space="preserve"> in South Africa</w:t>
      </w:r>
      <w:r w:rsidR="0018753C">
        <w:rPr>
          <w:rFonts w:ascii="Times New Roman" w:hAnsi="Times New Roman" w:cs="Times New Roman"/>
          <w:sz w:val="24"/>
          <w:szCs w:val="24"/>
        </w:rPr>
        <w:t xml:space="preserve">. </w:t>
      </w:r>
      <w:r w:rsidR="0039509C">
        <w:rPr>
          <w:rFonts w:ascii="Times New Roman" w:hAnsi="Times New Roman" w:cs="Times New Roman"/>
          <w:sz w:val="24"/>
          <w:szCs w:val="24"/>
        </w:rPr>
        <w:t>However</w:t>
      </w:r>
      <w:r w:rsidR="008A6D80">
        <w:rPr>
          <w:rFonts w:ascii="Times New Roman" w:hAnsi="Times New Roman" w:cs="Times New Roman"/>
          <w:sz w:val="24"/>
          <w:szCs w:val="24"/>
        </w:rPr>
        <w:t>,</w:t>
      </w:r>
      <w:r w:rsidR="0039509C">
        <w:rPr>
          <w:rFonts w:ascii="Times New Roman" w:hAnsi="Times New Roman" w:cs="Times New Roman"/>
          <w:sz w:val="24"/>
          <w:szCs w:val="24"/>
        </w:rPr>
        <w:t xml:space="preserve"> the</w:t>
      </w:r>
      <w:r w:rsidR="0041440E">
        <w:rPr>
          <w:rFonts w:ascii="Times New Roman" w:hAnsi="Times New Roman" w:cs="Times New Roman"/>
          <w:sz w:val="24"/>
          <w:szCs w:val="24"/>
        </w:rPr>
        <w:t xml:space="preserve"> </w:t>
      </w:r>
      <w:r w:rsidR="0018753C">
        <w:rPr>
          <w:rFonts w:ascii="Times New Roman" w:hAnsi="Times New Roman" w:cs="Times New Roman"/>
          <w:sz w:val="24"/>
          <w:szCs w:val="24"/>
        </w:rPr>
        <w:t xml:space="preserve">initial </w:t>
      </w:r>
      <w:r w:rsidR="0041440E">
        <w:rPr>
          <w:rFonts w:ascii="Times New Roman" w:hAnsi="Times New Roman" w:cs="Times New Roman"/>
          <w:sz w:val="24"/>
          <w:szCs w:val="24"/>
        </w:rPr>
        <w:t xml:space="preserve">difficulties </w:t>
      </w:r>
      <w:r w:rsidR="0018753C">
        <w:rPr>
          <w:rFonts w:ascii="Times New Roman" w:hAnsi="Times New Roman" w:cs="Times New Roman"/>
          <w:sz w:val="24"/>
          <w:szCs w:val="24"/>
        </w:rPr>
        <w:t xml:space="preserve">in Scotland </w:t>
      </w:r>
      <w:r w:rsidR="0041440E">
        <w:rPr>
          <w:rFonts w:ascii="Times New Roman" w:hAnsi="Times New Roman" w:cs="Times New Roman"/>
          <w:sz w:val="24"/>
          <w:szCs w:val="24"/>
        </w:rPr>
        <w:t xml:space="preserve">can </w:t>
      </w:r>
      <w:r w:rsidR="004C0472">
        <w:rPr>
          <w:rFonts w:ascii="Times New Roman" w:hAnsi="Times New Roman" w:cs="Times New Roman"/>
          <w:sz w:val="24"/>
          <w:szCs w:val="24"/>
        </w:rPr>
        <w:t xml:space="preserve">perhaps </w:t>
      </w:r>
      <w:r w:rsidR="0041440E">
        <w:rPr>
          <w:rFonts w:ascii="Times New Roman" w:hAnsi="Times New Roman" w:cs="Times New Roman"/>
          <w:sz w:val="24"/>
          <w:szCs w:val="24"/>
        </w:rPr>
        <w:t>also be viewed as the inevitable early conseq</w:t>
      </w:r>
      <w:r w:rsidR="004C0472">
        <w:rPr>
          <w:rFonts w:ascii="Times New Roman" w:hAnsi="Times New Roman" w:cs="Times New Roman"/>
          <w:sz w:val="24"/>
          <w:szCs w:val="24"/>
        </w:rPr>
        <w:t xml:space="preserve">uences of major re-orientations which the </w:t>
      </w:r>
      <w:r w:rsidR="009968B1">
        <w:rPr>
          <w:rFonts w:ascii="Times New Roman" w:hAnsi="Times New Roman" w:cs="Times New Roman"/>
          <w:sz w:val="24"/>
          <w:szCs w:val="24"/>
        </w:rPr>
        <w:t>elevation of the principle to its</w:t>
      </w:r>
      <w:r w:rsidR="008A6D80">
        <w:rPr>
          <w:rFonts w:ascii="Times New Roman" w:hAnsi="Times New Roman" w:cs="Times New Roman"/>
          <w:sz w:val="24"/>
          <w:szCs w:val="24"/>
        </w:rPr>
        <w:t xml:space="preserve"> “general” status </w:t>
      </w:r>
      <w:r w:rsidR="004C0472">
        <w:rPr>
          <w:rFonts w:ascii="Times New Roman" w:hAnsi="Times New Roman" w:cs="Times New Roman"/>
          <w:sz w:val="24"/>
          <w:szCs w:val="24"/>
        </w:rPr>
        <w:t>certainly is.</w:t>
      </w:r>
    </w:p>
    <w:p w14:paraId="4824C01B" w14:textId="77777777" w:rsidR="009968B1" w:rsidRPr="009968B1" w:rsidRDefault="009968B1" w:rsidP="009318C8">
      <w:pPr>
        <w:keepNext/>
        <w:spacing w:after="0" w:line="360" w:lineRule="auto"/>
        <w:jc w:val="both"/>
        <w:rPr>
          <w:rFonts w:ascii="Times New Roman" w:hAnsi="Times New Roman" w:cs="Times New Roman"/>
          <w:i/>
          <w:sz w:val="24"/>
          <w:szCs w:val="24"/>
        </w:rPr>
      </w:pPr>
      <w:r w:rsidRPr="009968B1">
        <w:rPr>
          <w:rFonts w:ascii="Times New Roman" w:hAnsi="Times New Roman" w:cs="Times New Roman"/>
          <w:i/>
          <w:sz w:val="24"/>
          <w:szCs w:val="24"/>
        </w:rPr>
        <w:t>Example</w:t>
      </w:r>
    </w:p>
    <w:p w14:paraId="44EAAF8A" w14:textId="77777777" w:rsidR="004D2155" w:rsidRDefault="00C860BD" w:rsidP="00C860BD">
      <w:pPr>
        <w:spacing w:after="0" w:line="360" w:lineRule="auto"/>
        <w:jc w:val="both"/>
        <w:rPr>
          <w:rFonts w:ascii="Times New Roman" w:hAnsi="Times New Roman" w:cs="Times New Roman"/>
          <w:i/>
          <w:iCs/>
          <w:sz w:val="24"/>
          <w:szCs w:val="24"/>
          <w:lang w:val="en-ZA"/>
        </w:rPr>
      </w:pPr>
      <w:r w:rsidRPr="004D2155">
        <w:rPr>
          <w:rFonts w:ascii="Times New Roman" w:hAnsi="Times New Roman" w:cs="Times New Roman"/>
          <w:i/>
          <w:iCs/>
          <w:sz w:val="24"/>
          <w:szCs w:val="24"/>
        </w:rPr>
        <w:t>Virdee v Stewart</w:t>
      </w:r>
      <w:r w:rsidRPr="004D2155">
        <w:rPr>
          <w:rFonts w:ascii="Times New Roman" w:hAnsi="Times New Roman" w:cs="Times New Roman"/>
          <w:i/>
          <w:iCs/>
          <w:sz w:val="24"/>
          <w:szCs w:val="24"/>
          <w:lang w:val="en-ZA"/>
        </w:rPr>
        <w:t xml:space="preserve"> </w:t>
      </w:r>
      <w:r w:rsidR="004D2155" w:rsidRPr="004D2155">
        <w:rPr>
          <w:rStyle w:val="FootnoteReference"/>
          <w:rFonts w:ascii="Times New Roman" w:hAnsi="Times New Roman" w:cs="Times New Roman"/>
          <w:iCs/>
          <w:sz w:val="24"/>
          <w:szCs w:val="24"/>
          <w:lang w:val="en-ZA"/>
        </w:rPr>
        <w:footnoteReference w:id="20"/>
      </w:r>
    </w:p>
    <w:p w14:paraId="7A5D11E7" w14:textId="77777777" w:rsidR="00C860BD" w:rsidRPr="00C860BD" w:rsidRDefault="00C860BD" w:rsidP="00C860BD">
      <w:pPr>
        <w:spacing w:after="0" w:line="360" w:lineRule="auto"/>
        <w:jc w:val="both"/>
        <w:rPr>
          <w:rFonts w:ascii="Times New Roman" w:hAnsi="Times New Roman" w:cs="Times New Roman"/>
          <w:iCs/>
          <w:sz w:val="24"/>
          <w:szCs w:val="24"/>
        </w:rPr>
      </w:pPr>
      <w:r w:rsidRPr="00C860BD">
        <w:rPr>
          <w:rFonts w:ascii="Times New Roman" w:hAnsi="Times New Roman" w:cs="Times New Roman"/>
          <w:i/>
          <w:iCs/>
          <w:sz w:val="24"/>
          <w:szCs w:val="24"/>
          <w:lang w:val="x-none"/>
        </w:rPr>
        <w:t xml:space="preserve"> </w:t>
      </w:r>
      <w:r w:rsidRPr="00C860BD">
        <w:rPr>
          <w:rFonts w:ascii="Times New Roman" w:hAnsi="Times New Roman" w:cs="Times New Roman"/>
          <w:iCs/>
          <w:sz w:val="24"/>
          <w:szCs w:val="24"/>
          <w:lang w:val="x-none"/>
        </w:rPr>
        <w:t xml:space="preserve">The pursuer, at her own expense and with some grant aid, built a house on the croft of her brother for use by her family and the defender (her brother) when the house was not occupied by her. The house was completed in August 1994. In 2009, the relationship of the parties broke down and the pursuer was excluded from the use of the house. The pursuer raised a claim of unjustified enrichment </w:t>
      </w:r>
      <w:r w:rsidRPr="00C860BD">
        <w:rPr>
          <w:rFonts w:ascii="Times New Roman" w:hAnsi="Times New Roman" w:cs="Times New Roman"/>
          <w:iCs/>
          <w:sz w:val="24"/>
          <w:szCs w:val="24"/>
        </w:rPr>
        <w:t xml:space="preserve">in 2011 to recover </w:t>
      </w:r>
      <w:r w:rsidRPr="00C860BD">
        <w:rPr>
          <w:rFonts w:ascii="Times New Roman" w:hAnsi="Times New Roman" w:cs="Times New Roman"/>
          <w:iCs/>
          <w:sz w:val="24"/>
          <w:szCs w:val="24"/>
          <w:lang w:val="x-none"/>
        </w:rPr>
        <w:t xml:space="preserve">her outlay in building the house. The intended claim was </w:t>
      </w:r>
      <w:r w:rsidRPr="00C860BD">
        <w:rPr>
          <w:rFonts w:ascii="Times New Roman" w:hAnsi="Times New Roman" w:cs="Times New Roman"/>
          <w:i/>
          <w:iCs/>
          <w:sz w:val="24"/>
          <w:szCs w:val="24"/>
          <w:lang w:val="x-none"/>
        </w:rPr>
        <w:t>condictio causa data causa non secuta</w:t>
      </w:r>
      <w:r w:rsidRPr="00C860BD">
        <w:rPr>
          <w:rFonts w:ascii="Times New Roman" w:hAnsi="Times New Roman" w:cs="Times New Roman"/>
          <w:iCs/>
          <w:sz w:val="24"/>
          <w:szCs w:val="24"/>
          <w:lang w:val="x-none"/>
        </w:rPr>
        <w:t xml:space="preserve">. </w:t>
      </w:r>
      <w:r w:rsidRPr="00C860BD">
        <w:rPr>
          <w:rFonts w:ascii="Times New Roman" w:hAnsi="Times New Roman" w:cs="Times New Roman"/>
          <w:iCs/>
          <w:sz w:val="24"/>
          <w:szCs w:val="24"/>
        </w:rPr>
        <w:t xml:space="preserve">In reaching her decision </w:t>
      </w:r>
      <w:r w:rsidRPr="00C860BD">
        <w:rPr>
          <w:rFonts w:ascii="Times New Roman" w:hAnsi="Times New Roman" w:cs="Times New Roman"/>
          <w:iCs/>
          <w:sz w:val="24"/>
          <w:szCs w:val="24"/>
          <w:lang w:val="x-none"/>
        </w:rPr>
        <w:t xml:space="preserve">Lady Smith </w:t>
      </w:r>
      <w:r w:rsidRPr="00C860BD">
        <w:rPr>
          <w:rFonts w:ascii="Times New Roman" w:hAnsi="Times New Roman" w:cs="Times New Roman"/>
          <w:iCs/>
          <w:sz w:val="24"/>
          <w:szCs w:val="24"/>
        </w:rPr>
        <w:t>expressly relied upon the “new” general principle “retention without a legal ground”.</w:t>
      </w:r>
    </w:p>
    <w:p w14:paraId="5F84C3C7" w14:textId="77777777" w:rsidR="00C860BD" w:rsidRPr="00C860BD" w:rsidRDefault="0064256D" w:rsidP="00C860B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She</w:t>
      </w:r>
      <w:r w:rsidR="00C860BD" w:rsidRPr="00C860BD">
        <w:rPr>
          <w:rFonts w:ascii="Times New Roman" w:hAnsi="Times New Roman" w:cs="Times New Roman"/>
          <w:iCs/>
          <w:sz w:val="24"/>
          <w:szCs w:val="24"/>
        </w:rPr>
        <w:t xml:space="preserve"> said:</w:t>
      </w:r>
      <w:r w:rsidR="00C860BD" w:rsidRPr="00C860BD">
        <w:rPr>
          <w:rFonts w:ascii="Times New Roman" w:hAnsi="Times New Roman" w:cs="Times New Roman"/>
          <w:iCs/>
          <w:sz w:val="24"/>
          <w:szCs w:val="24"/>
          <w:vertAlign w:val="superscript"/>
        </w:rPr>
        <w:footnoteReference w:id="21"/>
      </w:r>
    </w:p>
    <w:p w14:paraId="035782B0" w14:textId="77777777" w:rsidR="00C860BD" w:rsidRPr="004D2155" w:rsidRDefault="00C860BD" w:rsidP="004D2155">
      <w:pPr>
        <w:spacing w:after="0" w:line="240" w:lineRule="auto"/>
        <w:ind w:left="284"/>
        <w:jc w:val="both"/>
        <w:rPr>
          <w:rFonts w:ascii="Times New Roman" w:hAnsi="Times New Roman" w:cs="Times New Roman"/>
          <w:iCs/>
          <w:sz w:val="24"/>
          <w:szCs w:val="24"/>
        </w:rPr>
      </w:pPr>
      <w:r w:rsidRPr="00C860BD">
        <w:rPr>
          <w:rFonts w:ascii="Times New Roman" w:hAnsi="Times New Roman" w:cs="Times New Roman"/>
          <w:iCs/>
          <w:sz w:val="24"/>
          <w:szCs w:val="24"/>
        </w:rPr>
        <w:t xml:space="preserve">This all happened in circumstances where, from the outset, the defender had no legal right or entitlement to have the pursuer build anything on his land or to confer any benefit on him by way of taking any action on or relating to his land….. the defender was enriched as soon as the house was completed…that was an enrichment which, again, as a matter of law, was wholly unjustified because </w:t>
      </w:r>
      <w:r w:rsidRPr="004D2155">
        <w:rPr>
          <w:rFonts w:ascii="Times New Roman" w:hAnsi="Times New Roman" w:cs="Times New Roman"/>
          <w:iCs/>
          <w:sz w:val="24"/>
          <w:szCs w:val="24"/>
        </w:rPr>
        <w:t xml:space="preserve">he had no legal right or entitlement to it. </w:t>
      </w:r>
    </w:p>
    <w:p w14:paraId="4F3D41CC" w14:textId="77777777" w:rsidR="00C860BD" w:rsidRPr="004D2155" w:rsidRDefault="00C860BD" w:rsidP="00C860BD">
      <w:pPr>
        <w:spacing w:after="0" w:line="360" w:lineRule="auto"/>
        <w:jc w:val="both"/>
        <w:rPr>
          <w:rFonts w:ascii="Times New Roman" w:hAnsi="Times New Roman" w:cs="Times New Roman"/>
          <w:i/>
          <w:iCs/>
          <w:sz w:val="24"/>
          <w:szCs w:val="24"/>
        </w:rPr>
      </w:pPr>
    </w:p>
    <w:p w14:paraId="7C122139" w14:textId="77777777" w:rsidR="004F3E10" w:rsidRPr="0041533C" w:rsidRDefault="001C1F15" w:rsidP="00C860BD">
      <w:pPr>
        <w:spacing w:after="0" w:line="360" w:lineRule="auto"/>
        <w:jc w:val="both"/>
        <w:rPr>
          <w:rFonts w:ascii="Times New Roman" w:hAnsi="Times New Roman" w:cs="Times New Roman"/>
          <w:iCs/>
          <w:sz w:val="24"/>
          <w:szCs w:val="24"/>
          <w:lang w:val="en-US"/>
        </w:rPr>
      </w:pPr>
      <w:r>
        <w:rPr>
          <w:rFonts w:ascii="Times New Roman" w:hAnsi="Times New Roman" w:cs="Times New Roman"/>
          <w:iCs/>
          <w:sz w:val="24"/>
          <w:szCs w:val="24"/>
        </w:rPr>
        <w:t xml:space="preserve">A “legal ground” was conceived with the paradigm of “contract” in mind. </w:t>
      </w:r>
      <w:r w:rsidR="00F66ACC">
        <w:rPr>
          <w:rFonts w:ascii="Times New Roman" w:hAnsi="Times New Roman" w:cs="Times New Roman"/>
          <w:iCs/>
          <w:sz w:val="24"/>
          <w:szCs w:val="24"/>
        </w:rPr>
        <w:t>To be a “ground” for retention it was thought that it must give the defender a legally enforceable entitlement to the benefit.</w:t>
      </w:r>
      <w:r>
        <w:rPr>
          <w:rFonts w:ascii="Times New Roman" w:hAnsi="Times New Roman" w:cs="Times New Roman"/>
          <w:iCs/>
          <w:sz w:val="24"/>
          <w:szCs w:val="24"/>
        </w:rPr>
        <w:t xml:space="preserve"> </w:t>
      </w:r>
      <w:r w:rsidR="00241763">
        <w:rPr>
          <w:rFonts w:ascii="Times New Roman" w:hAnsi="Times New Roman" w:cs="Times New Roman"/>
          <w:iCs/>
          <w:sz w:val="24"/>
          <w:szCs w:val="24"/>
        </w:rPr>
        <w:t>Clearly the defender had had no such “right” to have the house built on his land. He did, however, agree to its construction and to his becoming owner by i</w:t>
      </w:r>
      <w:r w:rsidR="009D216F">
        <w:rPr>
          <w:rFonts w:ascii="Times New Roman" w:hAnsi="Times New Roman" w:cs="Times New Roman"/>
          <w:iCs/>
          <w:sz w:val="24"/>
          <w:szCs w:val="24"/>
        </w:rPr>
        <w:t xml:space="preserve">ts accession to his land </w:t>
      </w:r>
      <w:r w:rsidR="001E68D8">
        <w:rPr>
          <w:rFonts w:ascii="Times New Roman" w:hAnsi="Times New Roman" w:cs="Times New Roman"/>
          <w:iCs/>
          <w:sz w:val="24"/>
          <w:szCs w:val="24"/>
        </w:rPr>
        <w:t xml:space="preserve">for </w:t>
      </w:r>
      <w:r w:rsidR="00F66ACC">
        <w:rPr>
          <w:rFonts w:ascii="Times New Roman" w:hAnsi="Times New Roman" w:cs="Times New Roman"/>
          <w:iCs/>
          <w:sz w:val="24"/>
          <w:szCs w:val="24"/>
        </w:rPr>
        <w:t xml:space="preserve">the </w:t>
      </w:r>
      <w:r w:rsidR="00F66ACC" w:rsidRPr="00F66ACC">
        <w:rPr>
          <w:rFonts w:ascii="Times New Roman" w:hAnsi="Times New Roman" w:cs="Times New Roman"/>
          <w:i/>
          <w:iCs/>
          <w:sz w:val="24"/>
          <w:szCs w:val="24"/>
        </w:rPr>
        <w:t>quid pro quo</w:t>
      </w:r>
      <w:r w:rsidR="00F66ACC">
        <w:rPr>
          <w:rFonts w:ascii="Times New Roman" w:hAnsi="Times New Roman" w:cs="Times New Roman"/>
          <w:iCs/>
          <w:sz w:val="24"/>
          <w:szCs w:val="24"/>
        </w:rPr>
        <w:t xml:space="preserve"> </w:t>
      </w:r>
      <w:r w:rsidR="00241763">
        <w:rPr>
          <w:rFonts w:ascii="Times New Roman" w:hAnsi="Times New Roman" w:cs="Times New Roman"/>
          <w:iCs/>
          <w:sz w:val="24"/>
          <w:szCs w:val="24"/>
        </w:rPr>
        <w:t xml:space="preserve">that his sister be allowed to use it at will. </w:t>
      </w:r>
      <w:r w:rsidR="00F66ACC">
        <w:rPr>
          <w:rFonts w:ascii="Times New Roman" w:hAnsi="Times New Roman" w:cs="Times New Roman"/>
          <w:iCs/>
          <w:sz w:val="24"/>
          <w:szCs w:val="24"/>
        </w:rPr>
        <w:t xml:space="preserve">Since he had no such “right” to the house when it was built it was understood </w:t>
      </w:r>
      <w:r w:rsidR="001E68D8">
        <w:rPr>
          <w:rFonts w:ascii="Times New Roman" w:hAnsi="Times New Roman" w:cs="Times New Roman"/>
          <w:iCs/>
          <w:sz w:val="24"/>
          <w:szCs w:val="24"/>
        </w:rPr>
        <w:t xml:space="preserve">by the court </w:t>
      </w:r>
      <w:r w:rsidR="00F66ACC">
        <w:rPr>
          <w:rFonts w:ascii="Times New Roman" w:hAnsi="Times New Roman" w:cs="Times New Roman"/>
          <w:iCs/>
          <w:sz w:val="24"/>
          <w:szCs w:val="24"/>
        </w:rPr>
        <w:t xml:space="preserve">to have been held without a legal ground by him from the moment that it was built. As a result the </w:t>
      </w:r>
      <w:r w:rsidR="00C860BD" w:rsidRPr="00C860BD">
        <w:rPr>
          <w:rFonts w:ascii="Times New Roman" w:hAnsi="Times New Roman" w:cs="Times New Roman"/>
          <w:iCs/>
          <w:sz w:val="24"/>
          <w:szCs w:val="24"/>
        </w:rPr>
        <w:t xml:space="preserve">prescriptive </w:t>
      </w:r>
      <w:r w:rsidR="00C860BD" w:rsidRPr="00C860BD">
        <w:rPr>
          <w:rFonts w:ascii="Times New Roman" w:hAnsi="Times New Roman" w:cs="Times New Roman"/>
          <w:iCs/>
          <w:sz w:val="24"/>
          <w:szCs w:val="24"/>
          <w:lang w:val="x-none"/>
        </w:rPr>
        <w:t xml:space="preserve">period </w:t>
      </w:r>
      <w:r w:rsidR="00C860BD" w:rsidRPr="00C860BD">
        <w:rPr>
          <w:rFonts w:ascii="Times New Roman" w:hAnsi="Times New Roman" w:cs="Times New Roman"/>
          <w:iCs/>
          <w:sz w:val="24"/>
          <w:szCs w:val="24"/>
          <w:lang w:val="en-ZA"/>
        </w:rPr>
        <w:t>of five years</w:t>
      </w:r>
      <w:r w:rsidR="00645320" w:rsidRPr="00645320">
        <w:rPr>
          <w:rFonts w:ascii="Times New Roman" w:hAnsi="Times New Roman" w:cs="Times New Roman"/>
          <w:iCs/>
          <w:sz w:val="24"/>
          <w:szCs w:val="24"/>
          <w:vertAlign w:val="superscript"/>
          <w:lang w:val="x-none"/>
        </w:rPr>
        <w:footnoteReference w:id="22"/>
      </w:r>
      <w:r w:rsidR="00C860BD" w:rsidRPr="00C860BD">
        <w:rPr>
          <w:rFonts w:ascii="Times New Roman" w:hAnsi="Times New Roman" w:cs="Times New Roman"/>
          <w:iCs/>
          <w:sz w:val="24"/>
          <w:szCs w:val="24"/>
          <w:lang w:val="en-ZA"/>
        </w:rPr>
        <w:t xml:space="preserve"> </w:t>
      </w:r>
      <w:r w:rsidR="00C860BD" w:rsidRPr="00C860BD">
        <w:rPr>
          <w:rFonts w:ascii="Times New Roman" w:hAnsi="Times New Roman" w:cs="Times New Roman"/>
          <w:iCs/>
          <w:sz w:val="24"/>
          <w:szCs w:val="24"/>
          <w:lang w:val="x-none"/>
        </w:rPr>
        <w:t>was conceived to have run from 1994 and any obligation of unjustified enrichment in respect of the pursuer’s outlay had</w:t>
      </w:r>
      <w:r w:rsidR="00C860BD" w:rsidRPr="00C860BD">
        <w:rPr>
          <w:rFonts w:ascii="Times New Roman" w:hAnsi="Times New Roman" w:cs="Times New Roman"/>
          <w:iCs/>
          <w:sz w:val="24"/>
          <w:szCs w:val="24"/>
        </w:rPr>
        <w:t xml:space="preserve"> </w:t>
      </w:r>
      <w:r w:rsidR="00645320">
        <w:rPr>
          <w:rFonts w:ascii="Times New Roman" w:hAnsi="Times New Roman" w:cs="Times New Roman"/>
          <w:iCs/>
          <w:sz w:val="24"/>
          <w:szCs w:val="24"/>
        </w:rPr>
        <w:t xml:space="preserve">therefore </w:t>
      </w:r>
      <w:r w:rsidR="00C860BD" w:rsidRPr="00C860BD">
        <w:rPr>
          <w:rFonts w:ascii="Times New Roman" w:hAnsi="Times New Roman" w:cs="Times New Roman"/>
          <w:iCs/>
          <w:sz w:val="24"/>
          <w:szCs w:val="24"/>
        </w:rPr>
        <w:t>prescribed</w:t>
      </w:r>
      <w:r w:rsidR="00C860BD" w:rsidRPr="00C860BD">
        <w:rPr>
          <w:rFonts w:ascii="Times New Roman" w:hAnsi="Times New Roman" w:cs="Times New Roman"/>
          <w:iCs/>
          <w:sz w:val="24"/>
          <w:szCs w:val="24"/>
          <w:lang w:val="x-none"/>
        </w:rPr>
        <w:t xml:space="preserve">. </w:t>
      </w:r>
    </w:p>
    <w:p w14:paraId="5E917A0C" w14:textId="77777777" w:rsidR="004F3E10" w:rsidRDefault="00645320" w:rsidP="00C860B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 more acceptable </w:t>
      </w:r>
      <w:r w:rsidR="001C1F15">
        <w:rPr>
          <w:rFonts w:ascii="Times New Roman" w:hAnsi="Times New Roman" w:cs="Times New Roman"/>
          <w:iCs/>
          <w:sz w:val="24"/>
          <w:szCs w:val="24"/>
        </w:rPr>
        <w:t xml:space="preserve">view </w:t>
      </w:r>
      <w:r>
        <w:rPr>
          <w:rFonts w:ascii="Times New Roman" w:hAnsi="Times New Roman" w:cs="Times New Roman"/>
          <w:iCs/>
          <w:sz w:val="24"/>
          <w:szCs w:val="24"/>
        </w:rPr>
        <w:t>o</w:t>
      </w:r>
      <w:r w:rsidR="0064256D">
        <w:rPr>
          <w:rFonts w:ascii="Times New Roman" w:hAnsi="Times New Roman" w:cs="Times New Roman"/>
          <w:iCs/>
          <w:sz w:val="24"/>
          <w:szCs w:val="24"/>
        </w:rPr>
        <w:t>f the facts</w:t>
      </w:r>
      <w:r w:rsidR="001E68D8">
        <w:rPr>
          <w:rFonts w:ascii="Times New Roman" w:hAnsi="Times New Roman" w:cs="Times New Roman"/>
          <w:iCs/>
          <w:sz w:val="24"/>
          <w:szCs w:val="24"/>
        </w:rPr>
        <w:t xml:space="preserve"> </w:t>
      </w:r>
      <w:r w:rsidR="0064256D">
        <w:rPr>
          <w:rFonts w:ascii="Times New Roman" w:hAnsi="Times New Roman" w:cs="Times New Roman"/>
          <w:iCs/>
          <w:sz w:val="24"/>
          <w:szCs w:val="24"/>
        </w:rPr>
        <w:t xml:space="preserve">would </w:t>
      </w:r>
      <w:r w:rsidR="009D216F">
        <w:rPr>
          <w:rFonts w:ascii="Times New Roman" w:hAnsi="Times New Roman" w:cs="Times New Roman"/>
          <w:iCs/>
          <w:sz w:val="24"/>
          <w:szCs w:val="24"/>
        </w:rPr>
        <w:t xml:space="preserve">have </w:t>
      </w:r>
      <w:r w:rsidR="001C1F15">
        <w:rPr>
          <w:rFonts w:ascii="Times New Roman" w:hAnsi="Times New Roman" w:cs="Times New Roman"/>
          <w:iCs/>
          <w:sz w:val="24"/>
          <w:szCs w:val="24"/>
        </w:rPr>
        <w:t>be</w:t>
      </w:r>
      <w:r w:rsidR="009D216F">
        <w:rPr>
          <w:rFonts w:ascii="Times New Roman" w:hAnsi="Times New Roman" w:cs="Times New Roman"/>
          <w:iCs/>
          <w:sz w:val="24"/>
          <w:szCs w:val="24"/>
        </w:rPr>
        <w:t>en</w:t>
      </w:r>
      <w:r w:rsidR="001C1F15">
        <w:rPr>
          <w:rFonts w:ascii="Times New Roman" w:hAnsi="Times New Roman" w:cs="Times New Roman"/>
          <w:iCs/>
          <w:sz w:val="24"/>
          <w:szCs w:val="24"/>
        </w:rPr>
        <w:t xml:space="preserve"> to regard </w:t>
      </w:r>
      <w:r w:rsidR="0064256D">
        <w:rPr>
          <w:rFonts w:ascii="Times New Roman" w:hAnsi="Times New Roman" w:cs="Times New Roman"/>
          <w:iCs/>
          <w:sz w:val="24"/>
          <w:szCs w:val="24"/>
        </w:rPr>
        <w:t xml:space="preserve">the </w:t>
      </w:r>
      <w:r w:rsidR="0050480B">
        <w:rPr>
          <w:rFonts w:ascii="Times New Roman" w:hAnsi="Times New Roman" w:cs="Times New Roman"/>
          <w:iCs/>
          <w:sz w:val="24"/>
          <w:szCs w:val="24"/>
        </w:rPr>
        <w:t xml:space="preserve">“ground” for the conferral of the benefit as the </w:t>
      </w:r>
      <w:r w:rsidR="001C193C">
        <w:rPr>
          <w:rFonts w:ascii="Times New Roman" w:hAnsi="Times New Roman" w:cs="Times New Roman"/>
          <w:iCs/>
          <w:sz w:val="24"/>
          <w:szCs w:val="24"/>
        </w:rPr>
        <w:t xml:space="preserve">(non-contractual) </w:t>
      </w:r>
      <w:r w:rsidR="0050480B">
        <w:rPr>
          <w:rFonts w:ascii="Times New Roman" w:hAnsi="Times New Roman" w:cs="Times New Roman"/>
          <w:iCs/>
          <w:sz w:val="24"/>
          <w:szCs w:val="24"/>
        </w:rPr>
        <w:t>agreement between the parties.</w:t>
      </w:r>
      <w:r w:rsidR="001E590D">
        <w:rPr>
          <w:rFonts w:ascii="Times New Roman" w:hAnsi="Times New Roman" w:cs="Times New Roman"/>
          <w:iCs/>
          <w:sz w:val="24"/>
          <w:szCs w:val="24"/>
        </w:rPr>
        <w:t xml:space="preserve"> </w:t>
      </w:r>
      <w:r w:rsidR="00434322">
        <w:rPr>
          <w:rFonts w:ascii="Times New Roman" w:hAnsi="Times New Roman" w:cs="Times New Roman"/>
          <w:iCs/>
          <w:sz w:val="24"/>
          <w:szCs w:val="24"/>
        </w:rPr>
        <w:t>T</w:t>
      </w:r>
      <w:r w:rsidR="00467D5C">
        <w:rPr>
          <w:rFonts w:ascii="Times New Roman" w:hAnsi="Times New Roman" w:cs="Times New Roman"/>
          <w:iCs/>
          <w:sz w:val="24"/>
          <w:szCs w:val="24"/>
        </w:rPr>
        <w:t xml:space="preserve">he continued occupation by the claimant was </w:t>
      </w:r>
      <w:r w:rsidR="00D61971">
        <w:rPr>
          <w:rFonts w:ascii="Times New Roman" w:hAnsi="Times New Roman" w:cs="Times New Roman"/>
          <w:iCs/>
          <w:sz w:val="24"/>
          <w:szCs w:val="24"/>
        </w:rPr>
        <w:t xml:space="preserve">what </w:t>
      </w:r>
      <w:r w:rsidR="00467D5C">
        <w:rPr>
          <w:rFonts w:ascii="Times New Roman" w:hAnsi="Times New Roman" w:cs="Times New Roman"/>
          <w:iCs/>
          <w:sz w:val="24"/>
          <w:szCs w:val="24"/>
        </w:rPr>
        <w:t>formed the basis of the parties’ agreement and expectations</w:t>
      </w:r>
      <w:r w:rsidR="00434322">
        <w:rPr>
          <w:rFonts w:ascii="Times New Roman" w:hAnsi="Times New Roman" w:cs="Times New Roman"/>
          <w:iCs/>
          <w:sz w:val="24"/>
          <w:szCs w:val="24"/>
        </w:rPr>
        <w:t xml:space="preserve"> and </w:t>
      </w:r>
      <w:r w:rsidR="00D61971">
        <w:rPr>
          <w:rFonts w:ascii="Times New Roman" w:hAnsi="Times New Roman" w:cs="Times New Roman"/>
          <w:iCs/>
          <w:sz w:val="24"/>
          <w:szCs w:val="24"/>
        </w:rPr>
        <w:t>it was</w:t>
      </w:r>
      <w:r w:rsidR="00467D5C">
        <w:rPr>
          <w:rFonts w:ascii="Times New Roman" w:hAnsi="Times New Roman" w:cs="Times New Roman"/>
          <w:iCs/>
          <w:sz w:val="24"/>
          <w:szCs w:val="24"/>
        </w:rPr>
        <w:t xml:space="preserve"> </w:t>
      </w:r>
      <w:r w:rsidR="00D61971">
        <w:rPr>
          <w:rFonts w:ascii="Times New Roman" w:hAnsi="Times New Roman" w:cs="Times New Roman"/>
          <w:iCs/>
          <w:sz w:val="24"/>
          <w:szCs w:val="24"/>
        </w:rPr>
        <w:t>the</w:t>
      </w:r>
      <w:r w:rsidR="00467D5C">
        <w:rPr>
          <w:rFonts w:ascii="Times New Roman" w:hAnsi="Times New Roman" w:cs="Times New Roman"/>
          <w:iCs/>
          <w:sz w:val="24"/>
          <w:szCs w:val="24"/>
        </w:rPr>
        <w:t xml:space="preserve"> claimant’s ejection from the property </w:t>
      </w:r>
      <w:r w:rsidR="00D61971">
        <w:rPr>
          <w:rFonts w:ascii="Times New Roman" w:hAnsi="Times New Roman" w:cs="Times New Roman"/>
          <w:iCs/>
          <w:sz w:val="24"/>
          <w:szCs w:val="24"/>
        </w:rPr>
        <w:t>that disrupted these expectations</w:t>
      </w:r>
      <w:r w:rsidR="00467D5C">
        <w:rPr>
          <w:rFonts w:ascii="Times New Roman" w:hAnsi="Times New Roman" w:cs="Times New Roman"/>
          <w:iCs/>
          <w:sz w:val="24"/>
          <w:szCs w:val="24"/>
        </w:rPr>
        <w:t>.</w:t>
      </w:r>
      <w:r w:rsidR="0050480B">
        <w:rPr>
          <w:rFonts w:ascii="Times New Roman" w:hAnsi="Times New Roman" w:cs="Times New Roman"/>
          <w:iCs/>
          <w:sz w:val="24"/>
          <w:szCs w:val="24"/>
        </w:rPr>
        <w:t xml:space="preserve"> The enrichment </w:t>
      </w:r>
      <w:r w:rsidR="00F36F8F">
        <w:rPr>
          <w:rFonts w:ascii="Times New Roman" w:hAnsi="Times New Roman" w:cs="Times New Roman"/>
          <w:iCs/>
          <w:sz w:val="24"/>
          <w:szCs w:val="24"/>
        </w:rPr>
        <w:t xml:space="preserve">then </w:t>
      </w:r>
      <w:r w:rsidR="0050480B">
        <w:rPr>
          <w:rFonts w:ascii="Times New Roman" w:hAnsi="Times New Roman" w:cs="Times New Roman"/>
          <w:iCs/>
          <w:sz w:val="24"/>
          <w:szCs w:val="24"/>
        </w:rPr>
        <w:t xml:space="preserve">became </w:t>
      </w:r>
      <w:r w:rsidR="0064256D">
        <w:rPr>
          <w:rFonts w:ascii="Times New Roman" w:hAnsi="Times New Roman" w:cs="Times New Roman"/>
          <w:iCs/>
          <w:sz w:val="24"/>
          <w:szCs w:val="24"/>
        </w:rPr>
        <w:t xml:space="preserve">unjustified only from the moment </w:t>
      </w:r>
      <w:r w:rsidR="001C1F15">
        <w:rPr>
          <w:rFonts w:ascii="Times New Roman" w:hAnsi="Times New Roman" w:cs="Times New Roman"/>
          <w:iCs/>
          <w:sz w:val="24"/>
          <w:szCs w:val="24"/>
        </w:rPr>
        <w:t xml:space="preserve">that </w:t>
      </w:r>
      <w:r w:rsidR="0050480B">
        <w:rPr>
          <w:rFonts w:ascii="Times New Roman" w:hAnsi="Times New Roman" w:cs="Times New Roman"/>
          <w:iCs/>
          <w:sz w:val="24"/>
          <w:szCs w:val="24"/>
        </w:rPr>
        <w:t>it (</w:t>
      </w:r>
      <w:r w:rsidR="001C1F15">
        <w:rPr>
          <w:rFonts w:ascii="Times New Roman" w:hAnsi="Times New Roman" w:cs="Times New Roman"/>
          <w:iCs/>
          <w:sz w:val="24"/>
          <w:szCs w:val="24"/>
        </w:rPr>
        <w:t>the agreement</w:t>
      </w:r>
      <w:r w:rsidR="0050480B">
        <w:rPr>
          <w:rFonts w:ascii="Times New Roman" w:hAnsi="Times New Roman" w:cs="Times New Roman"/>
          <w:iCs/>
          <w:sz w:val="24"/>
          <w:szCs w:val="24"/>
        </w:rPr>
        <w:t>)</w:t>
      </w:r>
      <w:r w:rsidR="001C1F15">
        <w:rPr>
          <w:rFonts w:ascii="Times New Roman" w:hAnsi="Times New Roman" w:cs="Times New Roman"/>
          <w:iCs/>
          <w:sz w:val="24"/>
          <w:szCs w:val="24"/>
        </w:rPr>
        <w:t xml:space="preserve"> failed</w:t>
      </w:r>
      <w:r w:rsidR="00241763">
        <w:rPr>
          <w:rFonts w:ascii="Times New Roman" w:hAnsi="Times New Roman" w:cs="Times New Roman"/>
          <w:iCs/>
          <w:sz w:val="24"/>
          <w:szCs w:val="24"/>
        </w:rPr>
        <w:t xml:space="preserve"> in </w:t>
      </w:r>
      <w:r w:rsidR="0050480B">
        <w:rPr>
          <w:rFonts w:ascii="Times New Roman" w:hAnsi="Times New Roman" w:cs="Times New Roman"/>
          <w:iCs/>
          <w:sz w:val="24"/>
          <w:szCs w:val="24"/>
        </w:rPr>
        <w:t xml:space="preserve">2009 resulting in the failure of the </w:t>
      </w:r>
      <w:r w:rsidR="0050480B" w:rsidRPr="0050480B">
        <w:rPr>
          <w:rFonts w:ascii="Times New Roman" w:hAnsi="Times New Roman" w:cs="Times New Roman"/>
          <w:i/>
          <w:iCs/>
          <w:sz w:val="24"/>
          <w:szCs w:val="24"/>
        </w:rPr>
        <w:t>quid pro quo</w:t>
      </w:r>
      <w:r w:rsidR="0050480B">
        <w:rPr>
          <w:rFonts w:ascii="Times New Roman" w:hAnsi="Times New Roman" w:cs="Times New Roman"/>
          <w:iCs/>
          <w:sz w:val="24"/>
          <w:szCs w:val="24"/>
        </w:rPr>
        <w:t xml:space="preserve"> for the pursuer’s outlay. On that understanding her</w:t>
      </w:r>
      <w:r w:rsidR="001C1F15">
        <w:rPr>
          <w:rFonts w:ascii="Times New Roman" w:hAnsi="Times New Roman" w:cs="Times New Roman"/>
          <w:iCs/>
          <w:sz w:val="24"/>
          <w:szCs w:val="24"/>
        </w:rPr>
        <w:t xml:space="preserve"> </w:t>
      </w:r>
      <w:r w:rsidR="009D216F">
        <w:rPr>
          <w:rFonts w:ascii="Times New Roman" w:hAnsi="Times New Roman" w:cs="Times New Roman"/>
          <w:iCs/>
          <w:sz w:val="24"/>
          <w:szCs w:val="24"/>
        </w:rPr>
        <w:t>claim would not have prescribed by 2011.</w:t>
      </w:r>
      <w:r w:rsidR="001C1F15">
        <w:rPr>
          <w:rFonts w:ascii="Times New Roman" w:hAnsi="Times New Roman" w:cs="Times New Roman"/>
          <w:iCs/>
          <w:sz w:val="24"/>
          <w:szCs w:val="24"/>
        </w:rPr>
        <w:t xml:space="preserve"> Shortly after the decision the defender died and the case was not appealed. </w:t>
      </w:r>
    </w:p>
    <w:p w14:paraId="0E03FF65" w14:textId="12D00E68" w:rsidR="00C860BD" w:rsidRPr="00C860BD" w:rsidRDefault="001C1F15" w:rsidP="00C860BD">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It is worth noting at this point </w:t>
      </w:r>
      <w:r w:rsidR="00241763">
        <w:rPr>
          <w:rFonts w:ascii="Times New Roman" w:hAnsi="Times New Roman" w:cs="Times New Roman"/>
          <w:iCs/>
          <w:sz w:val="24"/>
          <w:szCs w:val="24"/>
        </w:rPr>
        <w:t xml:space="preserve">that </w:t>
      </w:r>
      <w:r>
        <w:rPr>
          <w:rFonts w:ascii="Times New Roman" w:hAnsi="Times New Roman" w:cs="Times New Roman"/>
          <w:iCs/>
          <w:sz w:val="24"/>
          <w:szCs w:val="24"/>
        </w:rPr>
        <w:t>the</w:t>
      </w:r>
      <w:r w:rsidR="00241763">
        <w:rPr>
          <w:rFonts w:ascii="Times New Roman" w:hAnsi="Times New Roman" w:cs="Times New Roman"/>
          <w:iCs/>
          <w:sz w:val="24"/>
          <w:szCs w:val="24"/>
        </w:rPr>
        <w:t xml:space="preserve"> odd</w:t>
      </w:r>
      <w:r>
        <w:rPr>
          <w:rFonts w:ascii="Times New Roman" w:hAnsi="Times New Roman" w:cs="Times New Roman"/>
          <w:iCs/>
          <w:sz w:val="24"/>
          <w:szCs w:val="24"/>
        </w:rPr>
        <w:t xml:space="preserve"> </w:t>
      </w:r>
      <w:r w:rsidR="0050480B">
        <w:rPr>
          <w:rFonts w:ascii="Times New Roman" w:hAnsi="Times New Roman" w:cs="Times New Roman"/>
          <w:iCs/>
          <w:sz w:val="24"/>
          <w:szCs w:val="24"/>
        </w:rPr>
        <w:t xml:space="preserve">identification of </w:t>
      </w:r>
      <w:r>
        <w:rPr>
          <w:rFonts w:ascii="Times New Roman" w:hAnsi="Times New Roman" w:cs="Times New Roman"/>
          <w:iCs/>
          <w:sz w:val="24"/>
          <w:szCs w:val="24"/>
        </w:rPr>
        <w:t xml:space="preserve">a </w:t>
      </w:r>
      <w:r w:rsidR="0050480B">
        <w:rPr>
          <w:rFonts w:ascii="Times New Roman" w:hAnsi="Times New Roman" w:cs="Times New Roman"/>
          <w:iCs/>
          <w:sz w:val="24"/>
          <w:szCs w:val="24"/>
        </w:rPr>
        <w:t>“</w:t>
      </w:r>
      <w:r>
        <w:rPr>
          <w:rFonts w:ascii="Times New Roman" w:hAnsi="Times New Roman" w:cs="Times New Roman"/>
          <w:iCs/>
          <w:sz w:val="24"/>
          <w:szCs w:val="24"/>
        </w:rPr>
        <w:t>ground</w:t>
      </w:r>
      <w:r w:rsidR="0050480B">
        <w:rPr>
          <w:rFonts w:ascii="Times New Roman" w:hAnsi="Times New Roman" w:cs="Times New Roman"/>
          <w:iCs/>
          <w:sz w:val="24"/>
          <w:szCs w:val="24"/>
        </w:rPr>
        <w:t>”</w:t>
      </w:r>
      <w:r>
        <w:rPr>
          <w:rFonts w:ascii="Times New Roman" w:hAnsi="Times New Roman" w:cs="Times New Roman"/>
          <w:iCs/>
          <w:sz w:val="24"/>
          <w:szCs w:val="24"/>
        </w:rPr>
        <w:t xml:space="preserve"> </w:t>
      </w:r>
      <w:r w:rsidR="0050480B">
        <w:rPr>
          <w:rFonts w:ascii="Times New Roman" w:hAnsi="Times New Roman" w:cs="Times New Roman"/>
          <w:iCs/>
          <w:sz w:val="24"/>
          <w:szCs w:val="24"/>
        </w:rPr>
        <w:t xml:space="preserve">exclusively with a “legally enforceable entitlement” also appears in </w:t>
      </w:r>
      <w:r w:rsidR="00C860BD" w:rsidRPr="0050480B">
        <w:rPr>
          <w:rFonts w:ascii="Times New Roman" w:hAnsi="Times New Roman" w:cs="Times New Roman"/>
          <w:i/>
          <w:iCs/>
          <w:sz w:val="24"/>
          <w:szCs w:val="24"/>
        </w:rPr>
        <w:t>McCarthy Retail</w:t>
      </w:r>
      <w:r w:rsidR="0050480B">
        <w:rPr>
          <w:rFonts w:ascii="Times New Roman" w:hAnsi="Times New Roman" w:cs="Times New Roman"/>
          <w:iCs/>
          <w:sz w:val="24"/>
          <w:szCs w:val="24"/>
        </w:rPr>
        <w:t>.</w:t>
      </w:r>
      <w:r w:rsidR="00C860BD" w:rsidRPr="00C860BD">
        <w:rPr>
          <w:rFonts w:ascii="Times New Roman" w:hAnsi="Times New Roman" w:cs="Times New Roman"/>
          <w:iCs/>
          <w:sz w:val="24"/>
          <w:szCs w:val="24"/>
        </w:rPr>
        <w:t xml:space="preserve"> </w:t>
      </w:r>
      <w:r w:rsidR="00DA1D04">
        <w:rPr>
          <w:rFonts w:ascii="Times New Roman" w:hAnsi="Times New Roman" w:cs="Times New Roman"/>
          <w:iCs/>
          <w:sz w:val="24"/>
          <w:szCs w:val="24"/>
        </w:rPr>
        <w:t>Harms JA</w:t>
      </w:r>
      <w:r w:rsidR="0050480B">
        <w:rPr>
          <w:rFonts w:ascii="Times New Roman" w:hAnsi="Times New Roman" w:cs="Times New Roman"/>
          <w:iCs/>
          <w:sz w:val="24"/>
          <w:szCs w:val="24"/>
        </w:rPr>
        <w:t xml:space="preserve"> said</w:t>
      </w:r>
      <w:r w:rsidR="00241763">
        <w:rPr>
          <w:rFonts w:ascii="Times New Roman" w:hAnsi="Times New Roman" w:cs="Times New Roman"/>
          <w:iCs/>
          <w:sz w:val="24"/>
          <w:szCs w:val="24"/>
        </w:rPr>
        <w:t>:</w:t>
      </w:r>
      <w:r w:rsidR="0050480B">
        <w:rPr>
          <w:rStyle w:val="FootnoteReference"/>
          <w:rFonts w:ascii="Times New Roman" w:hAnsi="Times New Roman" w:cs="Times New Roman"/>
          <w:iCs/>
          <w:sz w:val="24"/>
          <w:szCs w:val="24"/>
        </w:rPr>
        <w:footnoteReference w:id="23"/>
      </w:r>
      <w:r w:rsidR="00C860BD" w:rsidRPr="00C860BD">
        <w:rPr>
          <w:rFonts w:ascii="Times New Roman" w:hAnsi="Times New Roman" w:cs="Times New Roman"/>
          <w:iCs/>
          <w:sz w:val="24"/>
          <w:szCs w:val="24"/>
        </w:rPr>
        <w:t xml:space="preserve"> </w:t>
      </w:r>
    </w:p>
    <w:p w14:paraId="4A6981C9" w14:textId="77777777" w:rsidR="00C860BD" w:rsidRPr="00C860BD" w:rsidRDefault="00C860BD" w:rsidP="0050480B">
      <w:pPr>
        <w:spacing w:after="0" w:line="240" w:lineRule="auto"/>
        <w:ind w:left="284"/>
        <w:jc w:val="both"/>
        <w:rPr>
          <w:rFonts w:ascii="Times New Roman" w:hAnsi="Times New Roman" w:cs="Times New Roman"/>
          <w:iCs/>
          <w:sz w:val="24"/>
          <w:szCs w:val="24"/>
        </w:rPr>
      </w:pPr>
      <w:r w:rsidRPr="00C860BD">
        <w:rPr>
          <w:rFonts w:ascii="Times New Roman" w:hAnsi="Times New Roman" w:cs="Times New Roman"/>
          <w:iCs/>
          <w:sz w:val="24"/>
          <w:szCs w:val="24"/>
        </w:rPr>
        <w:t xml:space="preserve">Since the owner (and for that matter the insurer) had no right against the garage to have the vehicle repaired and because the garage had no other claim against either of them, the shift of assets was without any ground and therefore </w:t>
      </w:r>
      <w:r w:rsidRPr="00C860BD">
        <w:rPr>
          <w:rFonts w:ascii="Times New Roman" w:hAnsi="Times New Roman" w:cs="Times New Roman"/>
          <w:i/>
          <w:iCs/>
          <w:sz w:val="24"/>
          <w:szCs w:val="24"/>
        </w:rPr>
        <w:t>sine causa</w:t>
      </w:r>
      <w:r w:rsidRPr="00C860BD">
        <w:rPr>
          <w:rFonts w:ascii="Times New Roman" w:hAnsi="Times New Roman" w:cs="Times New Roman"/>
          <w:iCs/>
          <w:sz w:val="24"/>
          <w:szCs w:val="24"/>
        </w:rPr>
        <w:t>.</w:t>
      </w:r>
    </w:p>
    <w:p w14:paraId="4CA4C96C" w14:textId="77777777" w:rsidR="00C860BD" w:rsidRDefault="00C860BD" w:rsidP="00D5166B">
      <w:pPr>
        <w:spacing w:after="0" w:line="360" w:lineRule="auto"/>
        <w:jc w:val="both"/>
        <w:rPr>
          <w:rFonts w:ascii="Times New Roman" w:hAnsi="Times New Roman" w:cs="Times New Roman"/>
          <w:sz w:val="24"/>
          <w:szCs w:val="24"/>
          <w:lang w:val="en-US"/>
        </w:rPr>
      </w:pPr>
    </w:p>
    <w:p w14:paraId="68D0000F" w14:textId="77777777" w:rsidR="000A6784" w:rsidRPr="000A6784" w:rsidRDefault="009D216F" w:rsidP="000A6784">
      <w:pPr>
        <w:spacing w:after="0" w:line="360" w:lineRule="auto"/>
        <w:jc w:val="both"/>
        <w:rPr>
          <w:rFonts w:ascii="Times New Roman" w:hAnsi="Times New Roman" w:cs="Times New Roman"/>
          <w:iCs/>
          <w:sz w:val="24"/>
          <w:szCs w:val="24"/>
          <w:lang w:val="en-ZA"/>
        </w:rPr>
      </w:pPr>
      <w:r>
        <w:rPr>
          <w:rFonts w:ascii="Times New Roman" w:hAnsi="Times New Roman" w:cs="Times New Roman"/>
          <w:sz w:val="24"/>
          <w:szCs w:val="24"/>
          <w:lang w:val="en-US"/>
        </w:rPr>
        <w:t xml:space="preserve">In Scotland this understanding of “legal ground” as </w:t>
      </w:r>
      <w:r w:rsidR="000A6784">
        <w:rPr>
          <w:rFonts w:ascii="Times New Roman" w:hAnsi="Times New Roman" w:cs="Times New Roman"/>
          <w:sz w:val="24"/>
          <w:szCs w:val="24"/>
          <w:lang w:val="en-US"/>
        </w:rPr>
        <w:t xml:space="preserve">necessarily </w:t>
      </w:r>
      <w:r>
        <w:rPr>
          <w:rFonts w:ascii="Times New Roman" w:hAnsi="Times New Roman" w:cs="Times New Roman"/>
          <w:sz w:val="24"/>
          <w:szCs w:val="24"/>
          <w:lang w:val="en-US"/>
        </w:rPr>
        <w:t xml:space="preserve">a </w:t>
      </w:r>
      <w:r w:rsidR="000A6784">
        <w:rPr>
          <w:rFonts w:ascii="Times New Roman" w:hAnsi="Times New Roman" w:cs="Times New Roman"/>
          <w:sz w:val="24"/>
          <w:szCs w:val="24"/>
          <w:lang w:val="en-US"/>
        </w:rPr>
        <w:t>“</w:t>
      </w:r>
      <w:r>
        <w:rPr>
          <w:rFonts w:ascii="Times New Roman" w:hAnsi="Times New Roman" w:cs="Times New Roman"/>
          <w:sz w:val="24"/>
          <w:szCs w:val="24"/>
          <w:lang w:val="en-US"/>
        </w:rPr>
        <w:t>legally enforce</w:t>
      </w:r>
      <w:r w:rsidR="000A6784">
        <w:rPr>
          <w:rFonts w:ascii="Times New Roman" w:hAnsi="Times New Roman" w:cs="Times New Roman"/>
          <w:sz w:val="24"/>
          <w:szCs w:val="24"/>
          <w:lang w:val="en-US"/>
        </w:rPr>
        <w:t>a</w:t>
      </w:r>
      <w:r>
        <w:rPr>
          <w:rFonts w:ascii="Times New Roman" w:hAnsi="Times New Roman" w:cs="Times New Roman"/>
          <w:sz w:val="24"/>
          <w:szCs w:val="24"/>
          <w:lang w:val="en-US"/>
        </w:rPr>
        <w:t>ble entitlement</w:t>
      </w:r>
      <w:r w:rsidR="000A67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surfaced again </w:t>
      </w:r>
      <w:r w:rsidR="000A6784">
        <w:rPr>
          <w:rFonts w:ascii="Times New Roman" w:hAnsi="Times New Roman" w:cs="Times New Roman"/>
          <w:sz w:val="24"/>
          <w:szCs w:val="24"/>
          <w:lang w:val="en-US"/>
        </w:rPr>
        <w:t xml:space="preserve">at first instance </w:t>
      </w:r>
      <w:r>
        <w:rPr>
          <w:rFonts w:ascii="Times New Roman" w:hAnsi="Times New Roman" w:cs="Times New Roman"/>
          <w:sz w:val="24"/>
          <w:szCs w:val="24"/>
          <w:lang w:val="en-US"/>
        </w:rPr>
        <w:t xml:space="preserve">in </w:t>
      </w:r>
      <w:r w:rsidR="000A6784" w:rsidRPr="000A6784">
        <w:rPr>
          <w:rFonts w:ascii="Times New Roman" w:hAnsi="Times New Roman" w:cs="Times New Roman"/>
          <w:i/>
          <w:iCs/>
          <w:sz w:val="24"/>
          <w:szCs w:val="24"/>
          <w:lang w:val="en-ZA"/>
        </w:rPr>
        <w:t>Thomson v Mooney</w:t>
      </w:r>
      <w:r w:rsidR="000A6784" w:rsidRPr="000A6784">
        <w:rPr>
          <w:rFonts w:ascii="Times New Roman" w:hAnsi="Times New Roman" w:cs="Times New Roman"/>
          <w:iCs/>
          <w:sz w:val="24"/>
          <w:szCs w:val="24"/>
          <w:vertAlign w:val="superscript"/>
          <w:lang w:val="en-ZA"/>
        </w:rPr>
        <w:footnoteReference w:id="24"/>
      </w:r>
      <w:r w:rsidR="000A6784">
        <w:rPr>
          <w:rFonts w:ascii="Times New Roman" w:hAnsi="Times New Roman" w:cs="Times New Roman"/>
          <w:i/>
          <w:iCs/>
          <w:sz w:val="24"/>
          <w:szCs w:val="24"/>
          <w:lang w:val="en-ZA"/>
        </w:rPr>
        <w:t xml:space="preserve"> </w:t>
      </w:r>
      <w:r w:rsidR="000A6784" w:rsidRPr="000A6784">
        <w:rPr>
          <w:rFonts w:ascii="Times New Roman" w:hAnsi="Times New Roman" w:cs="Times New Roman"/>
          <w:iCs/>
          <w:sz w:val="24"/>
          <w:szCs w:val="24"/>
          <w:lang w:val="en-ZA"/>
        </w:rPr>
        <w:t>but w</w:t>
      </w:r>
      <w:r w:rsidR="000A6784">
        <w:rPr>
          <w:rFonts w:ascii="Times New Roman" w:hAnsi="Times New Roman" w:cs="Times New Roman"/>
          <w:iCs/>
          <w:sz w:val="24"/>
          <w:szCs w:val="24"/>
          <w:lang w:val="en-ZA"/>
        </w:rPr>
        <w:t>a</w:t>
      </w:r>
      <w:r w:rsidR="000A6784" w:rsidRPr="000A6784">
        <w:rPr>
          <w:rFonts w:ascii="Times New Roman" w:hAnsi="Times New Roman" w:cs="Times New Roman"/>
          <w:iCs/>
          <w:sz w:val="24"/>
          <w:szCs w:val="24"/>
          <w:lang w:val="en-ZA"/>
        </w:rPr>
        <w:t>s sound</w:t>
      </w:r>
      <w:r w:rsidR="000A6784">
        <w:rPr>
          <w:rFonts w:ascii="Times New Roman" w:hAnsi="Times New Roman" w:cs="Times New Roman"/>
          <w:iCs/>
          <w:sz w:val="24"/>
          <w:szCs w:val="24"/>
          <w:lang w:val="en-ZA"/>
        </w:rPr>
        <w:t>ly brought to an end on appeal to the Inner House of the Court of Session.</w:t>
      </w:r>
      <w:r w:rsidR="000A6784">
        <w:rPr>
          <w:rStyle w:val="FootnoteReference"/>
          <w:rFonts w:ascii="Times New Roman" w:hAnsi="Times New Roman" w:cs="Times New Roman"/>
          <w:iCs/>
          <w:sz w:val="24"/>
          <w:szCs w:val="24"/>
          <w:lang w:val="en-ZA"/>
        </w:rPr>
        <w:footnoteReference w:id="25"/>
      </w:r>
      <w:r w:rsidR="00AF4E04">
        <w:rPr>
          <w:rFonts w:ascii="Times New Roman" w:hAnsi="Times New Roman" w:cs="Times New Roman"/>
          <w:iCs/>
          <w:sz w:val="24"/>
          <w:szCs w:val="24"/>
          <w:lang w:val="en-ZA"/>
        </w:rPr>
        <w:t xml:space="preserve"> </w:t>
      </w:r>
    </w:p>
    <w:p w14:paraId="0E9F38C3" w14:textId="77777777" w:rsidR="00183AAD" w:rsidRDefault="0041440E" w:rsidP="00D5166B">
      <w:pPr>
        <w:spacing w:after="0" w:line="360" w:lineRule="auto"/>
        <w:jc w:val="both"/>
        <w:rPr>
          <w:rFonts w:ascii="Times New Roman" w:hAnsi="Times New Roman" w:cs="Times New Roman"/>
          <w:i/>
          <w:sz w:val="24"/>
          <w:szCs w:val="24"/>
          <w:lang w:val="en-US"/>
        </w:rPr>
      </w:pPr>
      <w:r w:rsidRPr="0041440E">
        <w:rPr>
          <w:rFonts w:ascii="Times New Roman" w:hAnsi="Times New Roman" w:cs="Times New Roman"/>
          <w:i/>
          <w:sz w:val="24"/>
          <w:szCs w:val="24"/>
          <w:lang w:val="en-US"/>
        </w:rPr>
        <w:t>Sub-Division of Unjustified Enrichment</w:t>
      </w:r>
    </w:p>
    <w:p w14:paraId="0D51473E" w14:textId="1B3DD60D" w:rsidR="003A2A6B" w:rsidRDefault="00900210" w:rsidP="00D5166B">
      <w:pPr>
        <w:spacing w:after="0" w:line="360" w:lineRule="auto"/>
        <w:jc w:val="both"/>
        <w:rPr>
          <w:rFonts w:ascii="Times New Roman" w:hAnsi="Times New Roman" w:cs="Times New Roman"/>
          <w:sz w:val="24"/>
          <w:szCs w:val="24"/>
          <w:lang w:val="en-US"/>
        </w:rPr>
      </w:pPr>
      <w:r w:rsidRPr="00900210">
        <w:rPr>
          <w:rFonts w:ascii="Times New Roman" w:hAnsi="Times New Roman" w:cs="Times New Roman"/>
          <w:sz w:val="24"/>
          <w:szCs w:val="24"/>
          <w:lang w:val="en-US"/>
        </w:rPr>
        <w:t>Due to the influence of Stair, Scots law now distinguishes according to the nature of the response to which each claim of unjustified enrichment gives rise, whether ‘restitution’ or ‘recompence’.</w:t>
      </w:r>
      <w:r w:rsidRPr="00900210">
        <w:rPr>
          <w:rFonts w:ascii="Times New Roman" w:hAnsi="Times New Roman" w:cs="Times New Roman"/>
          <w:sz w:val="24"/>
          <w:szCs w:val="24"/>
          <w:vertAlign w:val="superscript"/>
          <w:lang w:val="en-US"/>
        </w:rPr>
        <w:footnoteReference w:id="26"/>
      </w:r>
      <w:r w:rsidRPr="00900210">
        <w:rPr>
          <w:rFonts w:ascii="Times New Roman" w:hAnsi="Times New Roman" w:cs="Times New Roman"/>
          <w:sz w:val="24"/>
          <w:szCs w:val="24"/>
          <w:lang w:val="en-US"/>
        </w:rPr>
        <w:t xml:space="preserve"> Otherwise it has treated unjustified enrichment as a unity. By and large all the separate cases have been conceived in similar terms and subjected to the same general rules and principles. Since the law of unjustified enrichment itself lacked clear definition until recently, this is unsurprising. However, </w:t>
      </w:r>
      <w:r>
        <w:rPr>
          <w:rFonts w:ascii="Times New Roman" w:hAnsi="Times New Roman" w:cs="Times New Roman"/>
          <w:sz w:val="24"/>
          <w:szCs w:val="24"/>
          <w:lang w:val="en-US"/>
        </w:rPr>
        <w:t>Scottish a</w:t>
      </w:r>
      <w:r w:rsidRPr="00900210">
        <w:rPr>
          <w:rFonts w:ascii="Times New Roman" w:hAnsi="Times New Roman" w:cs="Times New Roman"/>
          <w:sz w:val="24"/>
          <w:szCs w:val="24"/>
          <w:lang w:val="en-US"/>
        </w:rPr>
        <w:t>cademic commentaries now recognise that although they are all expressions of ‘unjustified enrichment’, there are groups of claims in that have to be handled differently because they are conceptually and functionally distinct from each other in some significant respects.</w:t>
      </w:r>
      <w:r w:rsidR="00323099">
        <w:rPr>
          <w:rFonts w:ascii="Times New Roman" w:hAnsi="Times New Roman" w:cs="Times New Roman"/>
          <w:sz w:val="24"/>
          <w:szCs w:val="24"/>
          <w:lang w:val="en-US"/>
        </w:rPr>
        <w:t xml:space="preserve"> </w:t>
      </w:r>
      <w:r w:rsidRPr="00900210">
        <w:rPr>
          <w:rFonts w:ascii="Times New Roman" w:hAnsi="Times New Roman" w:cs="Times New Roman"/>
          <w:sz w:val="24"/>
          <w:szCs w:val="24"/>
          <w:lang w:val="en-US"/>
        </w:rPr>
        <w:t xml:space="preserve">The explanation for the existence of the ‘groups’ is that they were conceived as </w:t>
      </w:r>
      <w:r w:rsidR="0039509C">
        <w:rPr>
          <w:rFonts w:ascii="Times New Roman" w:hAnsi="Times New Roman" w:cs="Times New Roman"/>
          <w:sz w:val="24"/>
          <w:szCs w:val="24"/>
          <w:lang w:val="en-US"/>
        </w:rPr>
        <w:t xml:space="preserve">unrelated </w:t>
      </w:r>
      <w:r w:rsidRPr="00900210">
        <w:rPr>
          <w:rFonts w:ascii="Times New Roman" w:hAnsi="Times New Roman" w:cs="Times New Roman"/>
          <w:sz w:val="24"/>
          <w:szCs w:val="24"/>
          <w:lang w:val="en-US"/>
        </w:rPr>
        <w:t xml:space="preserve">causes of action in Roman law each with a distinct </w:t>
      </w:r>
      <w:r w:rsidR="00F37ECB">
        <w:rPr>
          <w:rFonts w:ascii="Times New Roman" w:hAnsi="Times New Roman" w:cs="Times New Roman"/>
          <w:sz w:val="24"/>
          <w:szCs w:val="24"/>
          <w:lang w:val="en-US"/>
        </w:rPr>
        <w:t xml:space="preserve">form of action (remedy) </w:t>
      </w:r>
      <w:r w:rsidRPr="00900210">
        <w:rPr>
          <w:rFonts w:ascii="Times New Roman" w:hAnsi="Times New Roman" w:cs="Times New Roman"/>
          <w:sz w:val="24"/>
          <w:szCs w:val="24"/>
          <w:lang w:val="en-US"/>
        </w:rPr>
        <w:t xml:space="preserve">of its own. They </w:t>
      </w:r>
      <w:r w:rsidR="004C0472">
        <w:rPr>
          <w:rFonts w:ascii="Times New Roman" w:hAnsi="Times New Roman" w:cs="Times New Roman"/>
          <w:sz w:val="24"/>
          <w:szCs w:val="24"/>
          <w:lang w:val="en-US"/>
        </w:rPr>
        <w:t xml:space="preserve">were </w:t>
      </w:r>
      <w:r w:rsidRPr="00900210">
        <w:rPr>
          <w:rFonts w:ascii="Times New Roman" w:hAnsi="Times New Roman" w:cs="Times New Roman"/>
          <w:sz w:val="24"/>
          <w:szCs w:val="24"/>
          <w:lang w:val="en-US"/>
        </w:rPr>
        <w:t>brought together as expressions of unjustified enrichment only much later by modern scholarship</w:t>
      </w:r>
      <w:r w:rsidR="004C0472">
        <w:rPr>
          <w:rFonts w:ascii="Times New Roman" w:hAnsi="Times New Roman" w:cs="Times New Roman"/>
          <w:sz w:val="24"/>
          <w:szCs w:val="24"/>
          <w:lang w:val="en-US"/>
        </w:rPr>
        <w:t>. Reflecting their origins,</w:t>
      </w:r>
      <w:r w:rsidR="00F37ECB">
        <w:rPr>
          <w:rFonts w:ascii="Times New Roman" w:hAnsi="Times New Roman" w:cs="Times New Roman"/>
          <w:sz w:val="24"/>
          <w:szCs w:val="24"/>
          <w:lang w:val="en-US"/>
        </w:rPr>
        <w:t xml:space="preserve"> they remain </w:t>
      </w:r>
      <w:r w:rsidR="00F37ECB" w:rsidRPr="00F37ECB">
        <w:rPr>
          <w:rFonts w:ascii="Times New Roman" w:hAnsi="Times New Roman" w:cs="Times New Roman"/>
          <w:sz w:val="24"/>
          <w:szCs w:val="24"/>
          <w:lang w:val="en-US"/>
        </w:rPr>
        <w:t xml:space="preserve">conceptually and functionally </w:t>
      </w:r>
      <w:r w:rsidR="00F37ECB">
        <w:rPr>
          <w:rFonts w:ascii="Times New Roman" w:hAnsi="Times New Roman" w:cs="Times New Roman"/>
          <w:sz w:val="24"/>
          <w:szCs w:val="24"/>
          <w:lang w:val="en-US"/>
        </w:rPr>
        <w:t>distinct in significant ways.</w:t>
      </w:r>
      <w:r w:rsidRPr="00900210">
        <w:rPr>
          <w:rFonts w:ascii="Times New Roman" w:hAnsi="Times New Roman" w:cs="Times New Roman"/>
          <w:sz w:val="24"/>
          <w:szCs w:val="24"/>
          <w:lang w:val="en-US"/>
        </w:rPr>
        <w:t xml:space="preserve"> In Roman law the groups were the </w:t>
      </w:r>
      <w:r w:rsidRPr="00900210">
        <w:rPr>
          <w:rFonts w:ascii="Times New Roman" w:hAnsi="Times New Roman" w:cs="Times New Roman"/>
          <w:i/>
          <w:sz w:val="24"/>
          <w:szCs w:val="24"/>
          <w:lang w:val="en-US"/>
        </w:rPr>
        <w:t>condictio</w:t>
      </w:r>
      <w:r w:rsidRPr="00900210">
        <w:rPr>
          <w:rFonts w:ascii="Times New Roman" w:hAnsi="Times New Roman" w:cs="Times New Roman"/>
          <w:sz w:val="24"/>
          <w:szCs w:val="24"/>
          <w:lang w:val="en-US"/>
        </w:rPr>
        <w:t xml:space="preserve">, good faith possessor/builder on another’s land, some acquisitions of ownership by D of what belonged to P without his permission, and payment of another’s debt cases. </w:t>
      </w:r>
      <w:r w:rsidR="003A2A6B">
        <w:rPr>
          <w:rFonts w:ascii="Times New Roman" w:hAnsi="Times New Roman" w:cs="Times New Roman"/>
          <w:sz w:val="24"/>
          <w:szCs w:val="24"/>
          <w:lang w:val="en-US"/>
        </w:rPr>
        <w:t>Drawing from Roman law as developed by modern German law, t</w:t>
      </w:r>
      <w:r w:rsidRPr="00900210">
        <w:rPr>
          <w:rFonts w:ascii="Times New Roman" w:hAnsi="Times New Roman" w:cs="Times New Roman"/>
          <w:sz w:val="24"/>
          <w:szCs w:val="24"/>
          <w:lang w:val="en-US"/>
        </w:rPr>
        <w:t xml:space="preserve">he same groups are now identified, and distinguished from one another in Scots law, according to the </w:t>
      </w:r>
      <w:r w:rsidRPr="00900210">
        <w:rPr>
          <w:rFonts w:ascii="Times New Roman" w:hAnsi="Times New Roman" w:cs="Times New Roman"/>
          <w:i/>
          <w:sz w:val="24"/>
          <w:szCs w:val="24"/>
          <w:lang w:val="en-US"/>
        </w:rPr>
        <w:t>manner</w:t>
      </w:r>
      <w:r w:rsidRPr="00900210">
        <w:rPr>
          <w:rFonts w:ascii="Times New Roman" w:hAnsi="Times New Roman" w:cs="Times New Roman"/>
          <w:sz w:val="24"/>
          <w:szCs w:val="24"/>
          <w:lang w:val="en-US"/>
        </w:rPr>
        <w:t xml:space="preserve"> in which the enrichment is acquired; whether by</w:t>
      </w:r>
      <w:r w:rsidRPr="00900210">
        <w:rPr>
          <w:rFonts w:ascii="Times New Roman" w:hAnsi="Times New Roman" w:cs="Times New Roman"/>
          <w:sz w:val="24"/>
          <w:szCs w:val="24"/>
        </w:rPr>
        <w:t xml:space="preserve"> </w:t>
      </w:r>
      <w:r w:rsidRPr="00900210">
        <w:rPr>
          <w:rFonts w:ascii="Times New Roman" w:hAnsi="Times New Roman" w:cs="Times New Roman"/>
          <w:i/>
          <w:sz w:val="24"/>
          <w:szCs w:val="24"/>
        </w:rPr>
        <w:t>deliberate conferral</w:t>
      </w:r>
      <w:r w:rsidRPr="00900210">
        <w:rPr>
          <w:rFonts w:ascii="Times New Roman" w:hAnsi="Times New Roman" w:cs="Times New Roman"/>
          <w:sz w:val="24"/>
          <w:szCs w:val="24"/>
        </w:rPr>
        <w:t xml:space="preserve"> of a benefit upon D by P</w:t>
      </w:r>
      <w:r>
        <w:rPr>
          <w:rFonts w:ascii="Times New Roman" w:hAnsi="Times New Roman" w:cs="Times New Roman"/>
          <w:sz w:val="24"/>
          <w:szCs w:val="24"/>
        </w:rPr>
        <w:t xml:space="preserve"> (</w:t>
      </w:r>
      <w:r w:rsidRPr="00900210">
        <w:rPr>
          <w:rFonts w:ascii="Times New Roman" w:hAnsi="Times New Roman" w:cs="Times New Roman"/>
          <w:i/>
          <w:sz w:val="24"/>
          <w:szCs w:val="24"/>
        </w:rPr>
        <w:t xml:space="preserve">condictio </w:t>
      </w:r>
      <w:r>
        <w:rPr>
          <w:rFonts w:ascii="Times New Roman" w:hAnsi="Times New Roman" w:cs="Times New Roman"/>
          <w:sz w:val="24"/>
          <w:szCs w:val="24"/>
        </w:rPr>
        <w:t>causes of action)</w:t>
      </w:r>
      <w:r w:rsidRPr="00900210">
        <w:rPr>
          <w:rFonts w:ascii="Times New Roman" w:hAnsi="Times New Roman" w:cs="Times New Roman"/>
          <w:sz w:val="24"/>
          <w:szCs w:val="24"/>
        </w:rPr>
        <w:t xml:space="preserve">; by P’s </w:t>
      </w:r>
      <w:r w:rsidRPr="00900210">
        <w:rPr>
          <w:rFonts w:ascii="Times New Roman" w:hAnsi="Times New Roman" w:cs="Times New Roman"/>
          <w:i/>
          <w:sz w:val="24"/>
          <w:szCs w:val="24"/>
        </w:rPr>
        <w:t>imposition</w:t>
      </w:r>
      <w:r w:rsidRPr="00900210">
        <w:rPr>
          <w:rFonts w:ascii="Times New Roman" w:hAnsi="Times New Roman" w:cs="Times New Roman"/>
          <w:sz w:val="24"/>
          <w:szCs w:val="24"/>
        </w:rPr>
        <w:t xml:space="preserve"> of a benefit upon D, by D’s </w:t>
      </w:r>
      <w:r w:rsidRPr="00900210">
        <w:rPr>
          <w:rFonts w:ascii="Times New Roman" w:hAnsi="Times New Roman" w:cs="Times New Roman"/>
          <w:i/>
          <w:sz w:val="24"/>
          <w:szCs w:val="24"/>
        </w:rPr>
        <w:t xml:space="preserve">interference </w:t>
      </w:r>
      <w:r w:rsidRPr="00900210">
        <w:rPr>
          <w:rFonts w:ascii="Times New Roman" w:hAnsi="Times New Roman" w:cs="Times New Roman"/>
          <w:sz w:val="24"/>
          <w:szCs w:val="24"/>
        </w:rPr>
        <w:t xml:space="preserve">with the property and analogous rights of P and by D having had his </w:t>
      </w:r>
      <w:r w:rsidRPr="00900210">
        <w:rPr>
          <w:rFonts w:ascii="Times New Roman" w:hAnsi="Times New Roman" w:cs="Times New Roman"/>
          <w:i/>
          <w:sz w:val="24"/>
          <w:szCs w:val="24"/>
        </w:rPr>
        <w:t xml:space="preserve">debt </w:t>
      </w:r>
      <w:r w:rsidRPr="00900210">
        <w:rPr>
          <w:rFonts w:ascii="Times New Roman" w:hAnsi="Times New Roman" w:cs="Times New Roman"/>
          <w:sz w:val="24"/>
          <w:szCs w:val="24"/>
        </w:rPr>
        <w:t xml:space="preserve">or duty </w:t>
      </w:r>
      <w:r w:rsidRPr="00900210">
        <w:rPr>
          <w:rFonts w:ascii="Times New Roman" w:hAnsi="Times New Roman" w:cs="Times New Roman"/>
          <w:i/>
          <w:sz w:val="24"/>
          <w:szCs w:val="24"/>
        </w:rPr>
        <w:t xml:space="preserve">discharged </w:t>
      </w:r>
      <w:r w:rsidRPr="00900210">
        <w:rPr>
          <w:rFonts w:ascii="Times New Roman" w:hAnsi="Times New Roman" w:cs="Times New Roman"/>
          <w:sz w:val="24"/>
          <w:szCs w:val="24"/>
        </w:rPr>
        <w:t>by P under certain circumstances.</w:t>
      </w:r>
      <w:r w:rsidRPr="00900210">
        <w:rPr>
          <w:rFonts w:ascii="Times New Roman" w:hAnsi="Times New Roman" w:cs="Times New Roman"/>
          <w:sz w:val="24"/>
          <w:szCs w:val="24"/>
          <w:lang w:val="en-US"/>
        </w:rPr>
        <w:t xml:space="preserve"> </w:t>
      </w:r>
      <w:r w:rsidR="009D3AAF" w:rsidRPr="009D3AAF">
        <w:rPr>
          <w:rFonts w:ascii="Times New Roman" w:hAnsi="Times New Roman" w:cs="Times New Roman"/>
          <w:sz w:val="24"/>
          <w:szCs w:val="24"/>
          <w:lang w:val="en-US"/>
        </w:rPr>
        <w:t>The ‘manner’ descriptors are useful expressions of the essence of each group and therefore as the first signposts in understanding the law. It is worth emphasising that although they fall within the broad church of “unjustified enrichment” there are conceptual and substantive differences between the groups.</w:t>
      </w:r>
      <w:r w:rsidR="004C0472">
        <w:rPr>
          <w:rFonts w:ascii="Times New Roman" w:hAnsi="Times New Roman" w:cs="Times New Roman"/>
          <w:sz w:val="24"/>
          <w:szCs w:val="24"/>
          <w:lang w:val="en-US"/>
        </w:rPr>
        <w:t xml:space="preserve"> </w:t>
      </w:r>
      <w:r w:rsidR="004C0472" w:rsidRPr="00F765BA">
        <w:rPr>
          <w:rFonts w:ascii="Times New Roman" w:hAnsi="Times New Roman" w:cs="Times New Roman"/>
          <w:sz w:val="24"/>
          <w:szCs w:val="24"/>
          <w:lang w:val="en-US"/>
        </w:rPr>
        <w:t>Modern commentators like Du Plessis and Visser have sub-divided modern South African law on similar lines</w:t>
      </w:r>
      <w:r w:rsidR="0091213F" w:rsidRPr="00F765BA">
        <w:rPr>
          <w:rFonts w:ascii="Times New Roman" w:hAnsi="Times New Roman" w:cs="Times New Roman"/>
          <w:sz w:val="24"/>
          <w:szCs w:val="24"/>
          <w:lang w:val="en-US"/>
        </w:rPr>
        <w:t xml:space="preserve"> for the same reasons</w:t>
      </w:r>
      <w:r w:rsidR="004C0472" w:rsidRPr="00F765BA">
        <w:rPr>
          <w:rFonts w:ascii="Times New Roman" w:hAnsi="Times New Roman" w:cs="Times New Roman"/>
          <w:sz w:val="24"/>
          <w:szCs w:val="24"/>
          <w:lang w:val="en-US"/>
        </w:rPr>
        <w:t>.</w:t>
      </w:r>
      <w:r w:rsidR="009318C8">
        <w:rPr>
          <w:rStyle w:val="FootnoteReference"/>
          <w:rFonts w:ascii="Times New Roman" w:hAnsi="Times New Roman" w:cs="Times New Roman"/>
          <w:sz w:val="24"/>
          <w:szCs w:val="24"/>
          <w:lang w:val="en-US"/>
        </w:rPr>
        <w:footnoteReference w:id="27"/>
      </w:r>
    </w:p>
    <w:p w14:paraId="0226C40F" w14:textId="77777777" w:rsidR="00BD3BC6" w:rsidRPr="00323099" w:rsidRDefault="00BD3BC6" w:rsidP="00D5166B">
      <w:pPr>
        <w:spacing w:after="0" w:line="360" w:lineRule="auto"/>
        <w:jc w:val="both"/>
        <w:rPr>
          <w:rFonts w:ascii="Times New Roman" w:hAnsi="Times New Roman" w:cs="Times New Roman"/>
          <w:i/>
          <w:sz w:val="24"/>
          <w:szCs w:val="24"/>
          <w:lang w:val="en-US"/>
        </w:rPr>
      </w:pPr>
      <w:r w:rsidRPr="00323099">
        <w:rPr>
          <w:rFonts w:ascii="Times New Roman" w:hAnsi="Times New Roman" w:cs="Times New Roman"/>
          <w:i/>
          <w:sz w:val="24"/>
          <w:szCs w:val="24"/>
          <w:lang w:val="en-US"/>
        </w:rPr>
        <w:t>Improvement of An</w:t>
      </w:r>
      <w:r w:rsidR="000974FA" w:rsidRPr="00323099">
        <w:rPr>
          <w:rFonts w:ascii="Times New Roman" w:hAnsi="Times New Roman" w:cs="Times New Roman"/>
          <w:i/>
          <w:sz w:val="24"/>
          <w:szCs w:val="24"/>
          <w:lang w:val="en-US"/>
        </w:rPr>
        <w:t>o</w:t>
      </w:r>
      <w:r w:rsidRPr="00323099">
        <w:rPr>
          <w:rFonts w:ascii="Times New Roman" w:hAnsi="Times New Roman" w:cs="Times New Roman"/>
          <w:i/>
          <w:sz w:val="24"/>
          <w:szCs w:val="24"/>
          <w:lang w:val="en-US"/>
        </w:rPr>
        <w:t>ther’s Property</w:t>
      </w:r>
    </w:p>
    <w:p w14:paraId="243C1F36" w14:textId="77777777" w:rsidR="003A2A6B" w:rsidRPr="003A2A6B" w:rsidRDefault="003A2A6B" w:rsidP="00D5166B">
      <w:pPr>
        <w:spacing w:after="0" w:line="360" w:lineRule="auto"/>
        <w:jc w:val="both"/>
        <w:rPr>
          <w:rFonts w:ascii="Times New Roman" w:hAnsi="Times New Roman" w:cs="Times New Roman"/>
          <w:i/>
          <w:sz w:val="24"/>
          <w:szCs w:val="24"/>
          <w:lang w:val="en-US"/>
        </w:rPr>
      </w:pPr>
      <w:r w:rsidRPr="003A2A6B">
        <w:rPr>
          <w:rFonts w:ascii="Times New Roman" w:hAnsi="Times New Roman" w:cs="Times New Roman"/>
          <w:i/>
          <w:sz w:val="24"/>
          <w:szCs w:val="24"/>
          <w:lang w:val="en-US"/>
        </w:rPr>
        <w:t>Identical Benefit</w:t>
      </w:r>
      <w:r w:rsidR="004634A8">
        <w:rPr>
          <w:rFonts w:ascii="Times New Roman" w:hAnsi="Times New Roman" w:cs="Times New Roman"/>
          <w:i/>
          <w:sz w:val="24"/>
          <w:szCs w:val="24"/>
          <w:lang w:val="en-US"/>
        </w:rPr>
        <w:t>s</w:t>
      </w:r>
      <w:r w:rsidR="00D546C0">
        <w:rPr>
          <w:rFonts w:ascii="Times New Roman" w:hAnsi="Times New Roman" w:cs="Times New Roman"/>
          <w:i/>
          <w:sz w:val="24"/>
          <w:szCs w:val="24"/>
          <w:lang w:val="en-US"/>
        </w:rPr>
        <w:t xml:space="preserve"> but </w:t>
      </w:r>
      <w:r w:rsidR="00D546C0" w:rsidRPr="00D546C0">
        <w:rPr>
          <w:rFonts w:ascii="Times New Roman" w:hAnsi="Times New Roman" w:cs="Times New Roman"/>
          <w:i/>
          <w:sz w:val="24"/>
          <w:szCs w:val="24"/>
          <w:lang w:val="en-US"/>
        </w:rPr>
        <w:t xml:space="preserve">Different </w:t>
      </w:r>
      <w:r w:rsidR="00D546C0">
        <w:rPr>
          <w:rFonts w:ascii="Times New Roman" w:hAnsi="Times New Roman" w:cs="Times New Roman"/>
          <w:i/>
          <w:sz w:val="24"/>
          <w:szCs w:val="24"/>
          <w:lang w:val="en-US"/>
        </w:rPr>
        <w:t>Causes of Action</w:t>
      </w:r>
    </w:p>
    <w:p w14:paraId="31861118" w14:textId="77777777" w:rsidR="000008E6" w:rsidRDefault="000008E6" w:rsidP="00D5166B">
      <w:pPr>
        <w:spacing w:after="0"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A person may improve another’s property for a variety of reasons, most commonly under the terms of a valid contract. The law of unjustified enrichment may al</w:t>
      </w:r>
      <w:r w:rsidR="000A6784">
        <w:rPr>
          <w:rFonts w:ascii="Times New Roman" w:hAnsi="Times New Roman" w:cs="Times New Roman"/>
          <w:iCs/>
          <w:sz w:val="24"/>
          <w:szCs w:val="24"/>
          <w:lang w:val="en-US"/>
        </w:rPr>
        <w:t>so arise for different reasons giving rise to different causes of action.</w:t>
      </w:r>
    </w:p>
    <w:p w14:paraId="7F4A9238" w14:textId="77777777" w:rsidR="00F62A42" w:rsidRPr="00D50D20" w:rsidRDefault="004634A8" w:rsidP="00D5166B">
      <w:pPr>
        <w:spacing w:after="0" w:line="360" w:lineRule="auto"/>
        <w:jc w:val="both"/>
        <w:rPr>
          <w:rFonts w:ascii="Times New Roman" w:hAnsi="Times New Roman" w:cs="Times New Roman"/>
          <w:iCs/>
          <w:sz w:val="24"/>
          <w:szCs w:val="24"/>
          <w:lang w:val="en-US"/>
        </w:rPr>
      </w:pPr>
      <w:r w:rsidRPr="00D50D20">
        <w:rPr>
          <w:rFonts w:ascii="Times New Roman" w:hAnsi="Times New Roman" w:cs="Times New Roman"/>
          <w:iCs/>
          <w:sz w:val="24"/>
          <w:szCs w:val="24"/>
          <w:lang w:val="en-US"/>
        </w:rPr>
        <w:t>Compare:</w:t>
      </w:r>
    </w:p>
    <w:p w14:paraId="6AD859A4" w14:textId="0A13E7A5" w:rsidR="00624321" w:rsidRPr="00624321" w:rsidRDefault="009F2C9E" w:rsidP="00D5166B">
      <w:pPr>
        <w:spacing w:after="0" w:line="240" w:lineRule="auto"/>
        <w:jc w:val="both"/>
        <w:rPr>
          <w:rFonts w:ascii="Times New Roman" w:hAnsi="Times New Roman" w:cs="Times New Roman"/>
          <w:sz w:val="24"/>
          <w:szCs w:val="24"/>
          <w:lang w:val="en-US"/>
        </w:rPr>
      </w:pPr>
      <w:r w:rsidRPr="009F2C9E">
        <w:rPr>
          <w:rFonts w:ascii="Times New Roman" w:hAnsi="Times New Roman" w:cs="Times New Roman"/>
          <w:iCs/>
          <w:sz w:val="24"/>
          <w:szCs w:val="24"/>
          <w:lang w:val="en-US"/>
        </w:rPr>
        <w:t>I</w:t>
      </w:r>
      <w:r>
        <w:rPr>
          <w:rFonts w:ascii="Times New Roman" w:hAnsi="Times New Roman" w:cs="Times New Roman"/>
          <w:iCs/>
          <w:sz w:val="24"/>
          <w:szCs w:val="24"/>
          <w:lang w:val="en-US"/>
        </w:rPr>
        <w:t>.</w:t>
      </w:r>
      <w:r w:rsidR="00624321" w:rsidRPr="00624321">
        <w:rPr>
          <w:rFonts w:ascii="Times New Roman" w:hAnsi="Times New Roman" w:cs="Times New Roman"/>
          <w:sz w:val="24"/>
          <w:szCs w:val="24"/>
          <w:lang w:val="en-US"/>
        </w:rPr>
        <w:t xml:space="preserve"> 2.1.30</w:t>
      </w:r>
    </w:p>
    <w:p w14:paraId="08F3C69E" w14:textId="2E1A8C5B" w:rsidR="00624321" w:rsidRPr="00624321" w:rsidRDefault="00624321" w:rsidP="00D5166B">
      <w:pPr>
        <w:spacing w:after="0" w:line="240" w:lineRule="auto"/>
        <w:jc w:val="both"/>
        <w:rPr>
          <w:rFonts w:ascii="Times New Roman" w:hAnsi="Times New Roman" w:cs="Times New Roman"/>
          <w:sz w:val="24"/>
          <w:szCs w:val="24"/>
        </w:rPr>
      </w:pPr>
      <w:r w:rsidRPr="00624321">
        <w:rPr>
          <w:rFonts w:ascii="Times New Roman" w:hAnsi="Times New Roman" w:cs="Times New Roman"/>
          <w:i/>
          <w:sz w:val="24"/>
          <w:szCs w:val="24"/>
        </w:rPr>
        <w:t>Ex diverso si quis in alieno solo sua materia domum aedificaverit, illius fit domus, cuius et solum est…Certe illud constat, si in possessione constituto aedificatore, soli dominus petat domum suam esse, nec solvat pretium materiae et mercedes fabrorum, posse eum per exceptionem doli mali repelli, utique si bonae fidei possessor fuit qui aedificasset: nam scienti, alienum esse solum, potest culpa obici, quod temere aedicaverit in eo solo quod intellegeret alienum esse</w:t>
      </w:r>
      <w:r w:rsidRPr="00624321">
        <w:rPr>
          <w:rFonts w:ascii="Times New Roman" w:hAnsi="Times New Roman" w:cs="Times New Roman"/>
          <w:sz w:val="24"/>
          <w:szCs w:val="24"/>
        </w:rPr>
        <w:t>.</w:t>
      </w:r>
      <w:r w:rsidR="009318C8">
        <w:rPr>
          <w:rStyle w:val="FootnoteReference"/>
          <w:rFonts w:ascii="Times New Roman" w:hAnsi="Times New Roman" w:cs="Times New Roman"/>
          <w:sz w:val="24"/>
          <w:szCs w:val="24"/>
        </w:rPr>
        <w:footnoteReference w:id="28"/>
      </w:r>
    </w:p>
    <w:p w14:paraId="0B174D61" w14:textId="77777777" w:rsidR="00624321" w:rsidRPr="00624321" w:rsidRDefault="00624321" w:rsidP="00D5166B">
      <w:pPr>
        <w:spacing w:after="0" w:line="240" w:lineRule="auto"/>
        <w:jc w:val="both"/>
        <w:rPr>
          <w:rFonts w:ascii="Times New Roman" w:hAnsi="Times New Roman" w:cs="Times New Roman"/>
          <w:sz w:val="24"/>
          <w:szCs w:val="24"/>
          <w:lang w:val="en-US"/>
        </w:rPr>
      </w:pPr>
      <w:r w:rsidRPr="00624321">
        <w:rPr>
          <w:rFonts w:ascii="Times New Roman" w:hAnsi="Times New Roman" w:cs="Times New Roman"/>
          <w:sz w:val="24"/>
          <w:szCs w:val="24"/>
          <w:lang w:val="en-US"/>
        </w:rPr>
        <w:t>(Conversely, if someone builds a house with his own materials on another’s land, the house belongs to the owner of the land...Of course if the owner of the land should claim against the builder in possession that the house is his and does not pay the cost of the materials and of the labour, he can be resisted with the defence of fraud; that is, if the builder was in good faith: for if he knew that the land belonged to another, it can be objected that he was at fault in rashly building on land that he knew belonged to another).</w:t>
      </w:r>
    </w:p>
    <w:p w14:paraId="18003BA3" w14:textId="77777777" w:rsidR="00624321" w:rsidRDefault="00624321" w:rsidP="00D5166B">
      <w:pPr>
        <w:spacing w:after="0" w:line="360" w:lineRule="auto"/>
        <w:jc w:val="both"/>
        <w:rPr>
          <w:rFonts w:ascii="Times New Roman" w:hAnsi="Times New Roman" w:cs="Times New Roman"/>
          <w:sz w:val="24"/>
          <w:szCs w:val="24"/>
        </w:rPr>
      </w:pPr>
    </w:p>
    <w:p w14:paraId="5BFC94EF" w14:textId="77777777" w:rsidR="00F62A42" w:rsidRDefault="00BD5139" w:rsidP="00D51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D.12.6.33 (Julian)</w:t>
      </w:r>
    </w:p>
    <w:p w14:paraId="03EA81EC" w14:textId="028106DC" w:rsidR="00BD5139" w:rsidRPr="00BD5139" w:rsidRDefault="00BD5139" w:rsidP="00D5166B">
      <w:pPr>
        <w:spacing w:after="0" w:line="240" w:lineRule="auto"/>
        <w:jc w:val="both"/>
        <w:rPr>
          <w:rFonts w:ascii="Times New Roman" w:hAnsi="Times New Roman" w:cs="Times New Roman"/>
          <w:i/>
          <w:sz w:val="24"/>
          <w:szCs w:val="24"/>
        </w:rPr>
      </w:pPr>
      <w:r w:rsidRPr="00BD5139">
        <w:rPr>
          <w:rFonts w:ascii="Times New Roman" w:hAnsi="Times New Roman" w:cs="Times New Roman"/>
          <w:i/>
          <w:sz w:val="24"/>
          <w:szCs w:val="24"/>
        </w:rPr>
        <w:t>Si in area tua aedificassem et tu aedes possideres, condic</w:t>
      </w:r>
      <w:r w:rsidR="00501404">
        <w:rPr>
          <w:rFonts w:ascii="Times New Roman" w:hAnsi="Times New Roman" w:cs="Times New Roman"/>
          <w:i/>
          <w:sz w:val="24"/>
          <w:szCs w:val="24"/>
        </w:rPr>
        <w:t>tio locum non habebit, qu</w:t>
      </w:r>
      <w:r w:rsidRPr="00BD5139">
        <w:rPr>
          <w:rFonts w:ascii="Times New Roman" w:hAnsi="Times New Roman" w:cs="Times New Roman"/>
          <w:i/>
          <w:sz w:val="24"/>
          <w:szCs w:val="24"/>
        </w:rPr>
        <w:t>ia nullam negotium inter nos contraheretur: nam is, qui non debitam pecuniam solverit, hoc ipos aliquid negotii gerit: cum autem aedificium in area sua ab alio positum dominus occupant, nullum negotium contrahit</w:t>
      </w:r>
      <w:r>
        <w:rPr>
          <w:rFonts w:ascii="Times New Roman" w:hAnsi="Times New Roman" w:cs="Times New Roman"/>
          <w:i/>
          <w:sz w:val="24"/>
          <w:szCs w:val="24"/>
        </w:rPr>
        <w:t>…</w:t>
      </w:r>
      <w:r w:rsidR="009318C8">
        <w:rPr>
          <w:rStyle w:val="FootnoteReference"/>
          <w:rFonts w:ascii="Times New Roman" w:hAnsi="Times New Roman" w:cs="Times New Roman"/>
          <w:i/>
          <w:sz w:val="24"/>
          <w:szCs w:val="24"/>
        </w:rPr>
        <w:footnoteReference w:id="29"/>
      </w:r>
    </w:p>
    <w:p w14:paraId="56870031" w14:textId="77777777" w:rsidR="00F62A42" w:rsidRPr="00586344" w:rsidRDefault="00526091" w:rsidP="00D51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D5139">
        <w:rPr>
          <w:rFonts w:ascii="Times New Roman" w:hAnsi="Times New Roman" w:cs="Times New Roman"/>
          <w:sz w:val="24"/>
          <w:szCs w:val="24"/>
        </w:rPr>
        <w:t xml:space="preserve">If I build on your site and you possess the house, there is no room for a </w:t>
      </w:r>
      <w:r w:rsidR="00BD5139" w:rsidRPr="00BD5139">
        <w:rPr>
          <w:rFonts w:ascii="Times New Roman" w:hAnsi="Times New Roman" w:cs="Times New Roman"/>
          <w:i/>
          <w:sz w:val="24"/>
          <w:szCs w:val="24"/>
        </w:rPr>
        <w:t>condictio</w:t>
      </w:r>
      <w:r w:rsidR="00BD5139">
        <w:rPr>
          <w:rFonts w:ascii="Times New Roman" w:hAnsi="Times New Roman" w:cs="Times New Roman"/>
          <w:sz w:val="24"/>
          <w:szCs w:val="24"/>
        </w:rPr>
        <w:t xml:space="preserve"> because there has been no dealing (</w:t>
      </w:r>
      <w:r w:rsidR="00BD5139" w:rsidRPr="00BD5139">
        <w:rPr>
          <w:rFonts w:ascii="Times New Roman" w:hAnsi="Times New Roman" w:cs="Times New Roman"/>
          <w:i/>
          <w:sz w:val="24"/>
          <w:szCs w:val="24"/>
        </w:rPr>
        <w:t>negotium</w:t>
      </w:r>
      <w:r w:rsidR="00BD5139">
        <w:rPr>
          <w:rFonts w:ascii="Times New Roman" w:hAnsi="Times New Roman" w:cs="Times New Roman"/>
          <w:sz w:val="24"/>
          <w:szCs w:val="24"/>
        </w:rPr>
        <w:t>) between us. However, one who pays a sum that is not due does conclude a transaction (</w:t>
      </w:r>
      <w:r w:rsidR="00BD5139" w:rsidRPr="00501404">
        <w:rPr>
          <w:rFonts w:ascii="Times New Roman" w:hAnsi="Times New Roman" w:cs="Times New Roman"/>
          <w:i/>
          <w:sz w:val="24"/>
          <w:szCs w:val="24"/>
        </w:rPr>
        <w:t>n</w:t>
      </w:r>
      <w:r w:rsidR="00501404" w:rsidRPr="00501404">
        <w:rPr>
          <w:rFonts w:ascii="Times New Roman" w:hAnsi="Times New Roman" w:cs="Times New Roman"/>
          <w:i/>
          <w:sz w:val="24"/>
          <w:szCs w:val="24"/>
        </w:rPr>
        <w:t>e</w:t>
      </w:r>
      <w:r w:rsidR="00BD5139" w:rsidRPr="00501404">
        <w:rPr>
          <w:rFonts w:ascii="Times New Roman" w:hAnsi="Times New Roman" w:cs="Times New Roman"/>
          <w:i/>
          <w:sz w:val="24"/>
          <w:szCs w:val="24"/>
        </w:rPr>
        <w:t>gotium</w:t>
      </w:r>
      <w:r w:rsidR="00BD5139">
        <w:rPr>
          <w:rFonts w:ascii="Times New Roman" w:hAnsi="Times New Roman" w:cs="Times New Roman"/>
          <w:sz w:val="24"/>
          <w:szCs w:val="24"/>
        </w:rPr>
        <w:t>)</w:t>
      </w:r>
      <w:r w:rsidR="00501404">
        <w:rPr>
          <w:rFonts w:ascii="Times New Roman" w:hAnsi="Times New Roman" w:cs="Times New Roman"/>
          <w:sz w:val="24"/>
          <w:szCs w:val="24"/>
        </w:rPr>
        <w:t>. But when an owner takes possession on his own land of a bu</w:t>
      </w:r>
      <w:r w:rsidR="004634A8">
        <w:rPr>
          <w:rFonts w:ascii="Times New Roman" w:hAnsi="Times New Roman" w:cs="Times New Roman"/>
          <w:sz w:val="24"/>
          <w:szCs w:val="24"/>
        </w:rPr>
        <w:t>ilding, placed there by another</w:t>
      </w:r>
      <w:r w:rsidR="00501404">
        <w:rPr>
          <w:rFonts w:ascii="Times New Roman" w:hAnsi="Times New Roman" w:cs="Times New Roman"/>
          <w:sz w:val="24"/>
          <w:szCs w:val="24"/>
        </w:rPr>
        <w:t>, he enters no transaction</w:t>
      </w:r>
      <w:r w:rsidR="004634A8">
        <w:rPr>
          <w:rFonts w:ascii="Times New Roman" w:hAnsi="Times New Roman" w:cs="Times New Roman"/>
          <w:sz w:val="24"/>
          <w:szCs w:val="24"/>
        </w:rPr>
        <w:t xml:space="preserve"> (</w:t>
      </w:r>
      <w:r w:rsidR="004634A8" w:rsidRPr="004634A8">
        <w:rPr>
          <w:rFonts w:ascii="Times New Roman" w:hAnsi="Times New Roman" w:cs="Times New Roman"/>
          <w:i/>
          <w:sz w:val="24"/>
          <w:szCs w:val="24"/>
        </w:rPr>
        <w:t>negotium</w:t>
      </w:r>
      <w:r w:rsidR="004634A8">
        <w:rPr>
          <w:rFonts w:ascii="Times New Roman" w:hAnsi="Times New Roman" w:cs="Times New Roman"/>
          <w:sz w:val="24"/>
          <w:szCs w:val="24"/>
        </w:rPr>
        <w:t>)</w:t>
      </w:r>
      <w:r>
        <w:rPr>
          <w:rFonts w:ascii="Times New Roman" w:hAnsi="Times New Roman" w:cs="Times New Roman"/>
          <w:sz w:val="24"/>
          <w:szCs w:val="24"/>
        </w:rPr>
        <w:t>)</w:t>
      </w:r>
      <w:r w:rsidR="004634A8">
        <w:rPr>
          <w:rFonts w:ascii="Times New Roman" w:hAnsi="Times New Roman" w:cs="Times New Roman"/>
          <w:sz w:val="24"/>
          <w:szCs w:val="24"/>
        </w:rPr>
        <w:t>.</w:t>
      </w:r>
    </w:p>
    <w:p w14:paraId="141F4041" w14:textId="77777777" w:rsidR="004634A8" w:rsidRDefault="004634A8" w:rsidP="00D5166B">
      <w:pPr>
        <w:spacing w:after="0" w:line="360" w:lineRule="auto"/>
        <w:jc w:val="both"/>
        <w:rPr>
          <w:rFonts w:ascii="Times New Roman" w:hAnsi="Times New Roman" w:cs="Times New Roman"/>
          <w:sz w:val="24"/>
          <w:szCs w:val="24"/>
          <w:lang w:val="en-US"/>
        </w:rPr>
      </w:pPr>
    </w:p>
    <w:p w14:paraId="0DF0B909" w14:textId="5ED4B69D" w:rsidR="00E8627A" w:rsidRDefault="00B87F26" w:rsidP="00D5166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26091">
        <w:rPr>
          <w:rFonts w:ascii="Times New Roman" w:hAnsi="Times New Roman" w:cs="Times New Roman"/>
          <w:sz w:val="24"/>
          <w:szCs w:val="24"/>
          <w:lang w:val="en-US"/>
        </w:rPr>
        <w:t xml:space="preserve">he civil law regards the </w:t>
      </w:r>
      <w:r w:rsidR="00526091" w:rsidRPr="00526091">
        <w:rPr>
          <w:rFonts w:ascii="Times New Roman" w:hAnsi="Times New Roman" w:cs="Times New Roman"/>
          <w:i/>
          <w:sz w:val="24"/>
          <w:szCs w:val="24"/>
          <w:lang w:val="en-US"/>
        </w:rPr>
        <w:t>condictio</w:t>
      </w:r>
      <w:r w:rsidR="00526091">
        <w:rPr>
          <w:rFonts w:ascii="Times New Roman" w:hAnsi="Times New Roman" w:cs="Times New Roman"/>
          <w:sz w:val="24"/>
          <w:szCs w:val="24"/>
          <w:lang w:val="en-US"/>
        </w:rPr>
        <w:t xml:space="preserve"> and </w:t>
      </w:r>
      <w:r w:rsidR="000008E6">
        <w:rPr>
          <w:rFonts w:ascii="Times New Roman" w:hAnsi="Times New Roman" w:cs="Times New Roman"/>
          <w:sz w:val="24"/>
          <w:szCs w:val="24"/>
          <w:lang w:val="en-US"/>
        </w:rPr>
        <w:t xml:space="preserve">good faith possessor/builder </w:t>
      </w:r>
      <w:r w:rsidRPr="00B87F26">
        <w:rPr>
          <w:rFonts w:ascii="Times New Roman" w:hAnsi="Times New Roman" w:cs="Times New Roman"/>
          <w:sz w:val="24"/>
          <w:szCs w:val="24"/>
          <w:lang w:val="en-US"/>
        </w:rPr>
        <w:t>cause</w:t>
      </w:r>
      <w:r>
        <w:rPr>
          <w:rFonts w:ascii="Times New Roman" w:hAnsi="Times New Roman" w:cs="Times New Roman"/>
          <w:sz w:val="24"/>
          <w:szCs w:val="24"/>
          <w:lang w:val="en-US"/>
        </w:rPr>
        <w:t>s</w:t>
      </w:r>
      <w:r w:rsidRPr="00B87F26">
        <w:rPr>
          <w:rFonts w:ascii="Times New Roman" w:hAnsi="Times New Roman" w:cs="Times New Roman"/>
          <w:sz w:val="24"/>
          <w:szCs w:val="24"/>
          <w:lang w:val="en-US"/>
        </w:rPr>
        <w:t xml:space="preserve"> of action </w:t>
      </w:r>
      <w:r>
        <w:rPr>
          <w:rFonts w:ascii="Times New Roman" w:hAnsi="Times New Roman" w:cs="Times New Roman"/>
          <w:sz w:val="24"/>
          <w:szCs w:val="24"/>
          <w:lang w:val="en-US"/>
        </w:rPr>
        <w:t xml:space="preserve">in </w:t>
      </w:r>
      <w:r w:rsidRPr="00B87F26">
        <w:rPr>
          <w:rFonts w:ascii="Times New Roman" w:hAnsi="Times New Roman" w:cs="Times New Roman"/>
          <w:sz w:val="24"/>
          <w:szCs w:val="24"/>
          <w:lang w:val="en-US"/>
        </w:rPr>
        <w:t xml:space="preserve">unjustified enrichment </w:t>
      </w:r>
      <w:r w:rsidR="004634A8">
        <w:rPr>
          <w:rFonts w:ascii="Times New Roman" w:hAnsi="Times New Roman" w:cs="Times New Roman"/>
          <w:sz w:val="24"/>
          <w:szCs w:val="24"/>
          <w:lang w:val="en-US"/>
        </w:rPr>
        <w:t>as different</w:t>
      </w:r>
      <w:r>
        <w:rPr>
          <w:rFonts w:ascii="Times New Roman" w:hAnsi="Times New Roman" w:cs="Times New Roman"/>
          <w:sz w:val="24"/>
          <w:szCs w:val="24"/>
          <w:lang w:val="en-US"/>
        </w:rPr>
        <w:t xml:space="preserve">. </w:t>
      </w:r>
      <w:r w:rsidR="004634A8">
        <w:rPr>
          <w:rFonts w:ascii="Times New Roman" w:hAnsi="Times New Roman" w:cs="Times New Roman"/>
          <w:sz w:val="24"/>
          <w:szCs w:val="24"/>
          <w:lang w:val="en-US"/>
        </w:rPr>
        <w:t>Central to the differentiation is the presence o</w:t>
      </w:r>
      <w:r w:rsidR="000008E6">
        <w:rPr>
          <w:rFonts w:ascii="Times New Roman" w:hAnsi="Times New Roman" w:cs="Times New Roman"/>
          <w:sz w:val="24"/>
          <w:szCs w:val="24"/>
          <w:lang w:val="en-US"/>
        </w:rPr>
        <w:t>r</w:t>
      </w:r>
      <w:r w:rsidR="004634A8">
        <w:rPr>
          <w:rFonts w:ascii="Times New Roman" w:hAnsi="Times New Roman" w:cs="Times New Roman"/>
          <w:sz w:val="24"/>
          <w:szCs w:val="24"/>
          <w:lang w:val="en-US"/>
        </w:rPr>
        <w:t xml:space="preserve"> absence of “</w:t>
      </w:r>
      <w:r w:rsidR="004634A8" w:rsidRPr="004634A8">
        <w:rPr>
          <w:rFonts w:ascii="Times New Roman" w:hAnsi="Times New Roman" w:cs="Times New Roman"/>
          <w:i/>
          <w:sz w:val="24"/>
          <w:szCs w:val="24"/>
          <w:lang w:val="en-US"/>
        </w:rPr>
        <w:t>negotium</w:t>
      </w:r>
      <w:r w:rsidR="004634A8">
        <w:rPr>
          <w:rFonts w:ascii="Times New Roman" w:hAnsi="Times New Roman" w:cs="Times New Roman"/>
          <w:sz w:val="24"/>
          <w:szCs w:val="24"/>
          <w:lang w:val="en-US"/>
        </w:rPr>
        <w:t xml:space="preserve">”. </w:t>
      </w:r>
      <w:r w:rsidR="00E8627A">
        <w:rPr>
          <w:rFonts w:ascii="Times New Roman" w:hAnsi="Times New Roman" w:cs="Times New Roman"/>
          <w:sz w:val="24"/>
          <w:szCs w:val="24"/>
          <w:lang w:val="en-US"/>
        </w:rPr>
        <w:t>T</w:t>
      </w:r>
      <w:r w:rsidR="004634A8">
        <w:rPr>
          <w:rFonts w:ascii="Times New Roman" w:hAnsi="Times New Roman" w:cs="Times New Roman"/>
          <w:sz w:val="24"/>
          <w:szCs w:val="24"/>
          <w:lang w:val="en-US"/>
        </w:rPr>
        <w:t xml:space="preserve">he </w:t>
      </w:r>
      <w:r w:rsidR="004634A8" w:rsidRPr="004634A8">
        <w:rPr>
          <w:rFonts w:ascii="Times New Roman" w:hAnsi="Times New Roman" w:cs="Times New Roman"/>
          <w:i/>
          <w:sz w:val="24"/>
          <w:szCs w:val="24"/>
          <w:lang w:val="en-US"/>
        </w:rPr>
        <w:t>condictio</w:t>
      </w:r>
      <w:r w:rsidR="004634A8">
        <w:rPr>
          <w:rFonts w:ascii="Times New Roman" w:hAnsi="Times New Roman" w:cs="Times New Roman"/>
          <w:sz w:val="24"/>
          <w:szCs w:val="24"/>
          <w:lang w:val="en-US"/>
        </w:rPr>
        <w:t xml:space="preserve"> cases </w:t>
      </w:r>
      <w:r w:rsidR="00E8627A">
        <w:rPr>
          <w:rFonts w:ascii="Times New Roman" w:hAnsi="Times New Roman" w:cs="Times New Roman"/>
          <w:sz w:val="24"/>
          <w:szCs w:val="24"/>
          <w:lang w:val="en-US"/>
        </w:rPr>
        <w:t xml:space="preserve">arise from </w:t>
      </w:r>
      <w:r w:rsidR="00E8627A" w:rsidRPr="00E8627A">
        <w:rPr>
          <w:rFonts w:ascii="Times New Roman" w:hAnsi="Times New Roman" w:cs="Times New Roman"/>
          <w:i/>
          <w:sz w:val="24"/>
          <w:szCs w:val="24"/>
          <w:lang w:val="en-US"/>
        </w:rPr>
        <w:t>negotium</w:t>
      </w:r>
      <w:r w:rsidR="000C339D">
        <w:rPr>
          <w:rFonts w:ascii="Times New Roman" w:hAnsi="Times New Roman" w:cs="Times New Roman"/>
          <w:sz w:val="24"/>
          <w:szCs w:val="24"/>
          <w:lang w:val="en-US"/>
        </w:rPr>
        <w:t xml:space="preserve"> – agreements/</w:t>
      </w:r>
      <w:r w:rsidR="00333E55">
        <w:rPr>
          <w:rFonts w:ascii="Times New Roman" w:hAnsi="Times New Roman" w:cs="Times New Roman"/>
          <w:sz w:val="24"/>
          <w:szCs w:val="24"/>
          <w:lang w:val="en-US"/>
        </w:rPr>
        <w:t>transactions</w:t>
      </w:r>
      <w:r w:rsidR="00E8627A">
        <w:rPr>
          <w:rFonts w:ascii="Times New Roman" w:hAnsi="Times New Roman" w:cs="Times New Roman"/>
          <w:sz w:val="24"/>
          <w:szCs w:val="24"/>
          <w:lang w:val="en-US"/>
        </w:rPr>
        <w:t xml:space="preserve"> - </w:t>
      </w:r>
      <w:r w:rsidR="000008E6">
        <w:rPr>
          <w:rFonts w:ascii="Times New Roman" w:hAnsi="Times New Roman" w:cs="Times New Roman"/>
          <w:sz w:val="24"/>
          <w:szCs w:val="24"/>
          <w:lang w:val="en-US"/>
        </w:rPr>
        <w:t>that go wrong.</w:t>
      </w:r>
      <w:r w:rsidR="000008E6" w:rsidRPr="000008E6">
        <w:rPr>
          <w:rFonts w:ascii="Times New Roman" w:hAnsi="Times New Roman" w:cs="Times New Roman"/>
          <w:sz w:val="24"/>
          <w:szCs w:val="24"/>
          <w:lang w:val="en-US"/>
        </w:rPr>
        <w:t xml:space="preserve"> </w:t>
      </w:r>
      <w:r w:rsidR="00E8627A">
        <w:rPr>
          <w:rFonts w:ascii="Times New Roman" w:hAnsi="Times New Roman" w:cs="Times New Roman"/>
          <w:sz w:val="24"/>
          <w:szCs w:val="24"/>
          <w:lang w:val="en-US"/>
        </w:rPr>
        <w:t xml:space="preserve">A </w:t>
      </w:r>
      <w:r w:rsidR="000008E6" w:rsidRPr="000008E6">
        <w:rPr>
          <w:rFonts w:ascii="Times New Roman" w:hAnsi="Times New Roman" w:cs="Times New Roman"/>
          <w:sz w:val="24"/>
          <w:szCs w:val="24"/>
          <w:lang w:val="en-US"/>
        </w:rPr>
        <w:t xml:space="preserve">classic application of the </w:t>
      </w:r>
      <w:r w:rsidR="000008E6" w:rsidRPr="000008E6">
        <w:rPr>
          <w:rFonts w:ascii="Times New Roman" w:hAnsi="Times New Roman" w:cs="Times New Roman"/>
          <w:i/>
          <w:sz w:val="24"/>
          <w:szCs w:val="24"/>
          <w:lang w:val="en-US"/>
        </w:rPr>
        <w:t>condictio indebiti</w:t>
      </w:r>
      <w:r w:rsidR="000008E6" w:rsidRPr="000008E6">
        <w:rPr>
          <w:rFonts w:ascii="Times New Roman" w:hAnsi="Times New Roman" w:cs="Times New Roman"/>
          <w:sz w:val="24"/>
          <w:szCs w:val="24"/>
          <w:lang w:val="en-US"/>
        </w:rPr>
        <w:t xml:space="preserve"> is to restore the </w:t>
      </w:r>
      <w:r w:rsidR="000008E6" w:rsidRPr="000008E6">
        <w:rPr>
          <w:rFonts w:ascii="Times New Roman" w:hAnsi="Times New Roman" w:cs="Times New Roman"/>
          <w:i/>
          <w:sz w:val="24"/>
          <w:szCs w:val="24"/>
          <w:lang w:val="en-US"/>
        </w:rPr>
        <w:t>status quo ante</w:t>
      </w:r>
      <w:r w:rsidR="000008E6" w:rsidRPr="000008E6">
        <w:rPr>
          <w:rFonts w:ascii="Times New Roman" w:hAnsi="Times New Roman" w:cs="Times New Roman"/>
          <w:sz w:val="24"/>
          <w:szCs w:val="24"/>
          <w:lang w:val="en-US"/>
        </w:rPr>
        <w:t xml:space="preserve"> after the performance of a contract that was void </w:t>
      </w:r>
      <w:r w:rsidR="000008E6" w:rsidRPr="000008E6">
        <w:rPr>
          <w:rFonts w:ascii="Times New Roman" w:hAnsi="Times New Roman" w:cs="Times New Roman"/>
          <w:i/>
          <w:sz w:val="24"/>
          <w:szCs w:val="24"/>
          <w:lang w:val="en-US"/>
        </w:rPr>
        <w:t>ab initio</w:t>
      </w:r>
      <w:r w:rsidR="000008E6" w:rsidRPr="000008E6">
        <w:rPr>
          <w:rFonts w:ascii="Times New Roman" w:hAnsi="Times New Roman" w:cs="Times New Roman"/>
          <w:sz w:val="24"/>
          <w:szCs w:val="24"/>
          <w:lang w:val="en-US"/>
        </w:rPr>
        <w:t xml:space="preserve">. </w:t>
      </w:r>
      <w:r w:rsidR="000008E6" w:rsidRPr="000008E6">
        <w:rPr>
          <w:rFonts w:ascii="Times New Roman" w:hAnsi="Times New Roman" w:cs="Times New Roman"/>
          <w:sz w:val="24"/>
          <w:szCs w:val="24"/>
        </w:rPr>
        <w:t xml:space="preserve">For example, </w:t>
      </w:r>
      <w:r w:rsidR="00275323">
        <w:rPr>
          <w:rFonts w:ascii="Times New Roman" w:hAnsi="Times New Roman" w:cs="Times New Roman"/>
          <w:sz w:val="24"/>
          <w:szCs w:val="24"/>
        </w:rPr>
        <w:t>P</w:t>
      </w:r>
      <w:r w:rsidR="000008E6" w:rsidRPr="000008E6">
        <w:rPr>
          <w:rFonts w:ascii="Times New Roman" w:hAnsi="Times New Roman" w:cs="Times New Roman"/>
          <w:sz w:val="24"/>
          <w:szCs w:val="24"/>
        </w:rPr>
        <w:t xml:space="preserve"> build</w:t>
      </w:r>
      <w:r w:rsidR="00275323">
        <w:rPr>
          <w:rFonts w:ascii="Times New Roman" w:hAnsi="Times New Roman" w:cs="Times New Roman"/>
          <w:sz w:val="24"/>
          <w:szCs w:val="24"/>
        </w:rPr>
        <w:t>s</w:t>
      </w:r>
      <w:r w:rsidR="000008E6" w:rsidRPr="000008E6">
        <w:rPr>
          <w:rFonts w:ascii="Times New Roman" w:hAnsi="Times New Roman" w:cs="Times New Roman"/>
          <w:sz w:val="24"/>
          <w:szCs w:val="24"/>
        </w:rPr>
        <w:t xml:space="preserve"> on </w:t>
      </w:r>
      <w:r w:rsidR="00275323">
        <w:rPr>
          <w:rFonts w:ascii="Times New Roman" w:hAnsi="Times New Roman" w:cs="Times New Roman"/>
          <w:sz w:val="24"/>
          <w:szCs w:val="24"/>
        </w:rPr>
        <w:t xml:space="preserve">D’s </w:t>
      </w:r>
      <w:r w:rsidR="000008E6" w:rsidRPr="000008E6">
        <w:rPr>
          <w:rFonts w:ascii="Times New Roman" w:hAnsi="Times New Roman" w:cs="Times New Roman"/>
          <w:sz w:val="24"/>
          <w:szCs w:val="24"/>
        </w:rPr>
        <w:t>land und</w:t>
      </w:r>
      <w:r w:rsidR="00275323">
        <w:rPr>
          <w:rFonts w:ascii="Times New Roman" w:hAnsi="Times New Roman" w:cs="Times New Roman"/>
          <w:sz w:val="24"/>
          <w:szCs w:val="24"/>
        </w:rPr>
        <w:t>er the terms of a void contract.</w:t>
      </w:r>
      <w:r w:rsidR="000008E6">
        <w:rPr>
          <w:rFonts w:ascii="Times New Roman" w:hAnsi="Times New Roman" w:cs="Times New Roman"/>
          <w:sz w:val="24"/>
          <w:szCs w:val="24"/>
        </w:rPr>
        <w:t xml:space="preserve"> </w:t>
      </w:r>
      <w:r w:rsidR="000008E6" w:rsidRPr="000008E6">
        <w:rPr>
          <w:rFonts w:ascii="Times New Roman" w:hAnsi="Times New Roman" w:cs="Times New Roman"/>
          <w:sz w:val="24"/>
          <w:szCs w:val="24"/>
        </w:rPr>
        <w:t>Another common claim</w:t>
      </w:r>
      <w:r>
        <w:rPr>
          <w:rFonts w:ascii="Times New Roman" w:hAnsi="Times New Roman" w:cs="Times New Roman"/>
          <w:sz w:val="24"/>
          <w:szCs w:val="24"/>
        </w:rPr>
        <w:t xml:space="preserve"> </w:t>
      </w:r>
      <w:r w:rsidR="0069619A">
        <w:rPr>
          <w:rFonts w:ascii="Times New Roman" w:hAnsi="Times New Roman" w:cs="Times New Roman"/>
          <w:sz w:val="24"/>
          <w:szCs w:val="24"/>
        </w:rPr>
        <w:t xml:space="preserve">belonging to </w:t>
      </w:r>
      <w:r>
        <w:rPr>
          <w:rFonts w:ascii="Times New Roman" w:hAnsi="Times New Roman" w:cs="Times New Roman"/>
          <w:sz w:val="24"/>
          <w:szCs w:val="24"/>
        </w:rPr>
        <w:t>the group</w:t>
      </w:r>
      <w:r w:rsidR="000008E6" w:rsidRPr="000008E6">
        <w:rPr>
          <w:rFonts w:ascii="Times New Roman" w:hAnsi="Times New Roman" w:cs="Times New Roman"/>
          <w:sz w:val="24"/>
          <w:szCs w:val="24"/>
        </w:rPr>
        <w:t xml:space="preserve"> is the </w:t>
      </w:r>
      <w:r w:rsidR="000008E6" w:rsidRPr="000008E6">
        <w:rPr>
          <w:rFonts w:ascii="Times New Roman" w:hAnsi="Times New Roman" w:cs="Times New Roman"/>
          <w:i/>
          <w:sz w:val="24"/>
          <w:szCs w:val="24"/>
        </w:rPr>
        <w:t>condictio causa data causa non secuta</w:t>
      </w:r>
      <w:r w:rsidR="000008E6" w:rsidRPr="000008E6">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45B27">
        <w:rPr>
          <w:rFonts w:ascii="Times New Roman" w:hAnsi="Times New Roman" w:cs="Times New Roman"/>
          <w:i/>
          <w:sz w:val="24"/>
          <w:szCs w:val="24"/>
        </w:rPr>
        <w:t>Shilliday</w:t>
      </w:r>
      <w:r>
        <w:rPr>
          <w:rFonts w:ascii="Times New Roman" w:hAnsi="Times New Roman" w:cs="Times New Roman"/>
          <w:sz w:val="24"/>
          <w:szCs w:val="24"/>
        </w:rPr>
        <w:t xml:space="preserve"> a woman was able to re</w:t>
      </w:r>
      <w:r w:rsidR="00245B27">
        <w:rPr>
          <w:rFonts w:ascii="Times New Roman" w:hAnsi="Times New Roman" w:cs="Times New Roman"/>
          <w:sz w:val="24"/>
          <w:szCs w:val="24"/>
        </w:rPr>
        <w:t>cover the cost</w:t>
      </w:r>
      <w:r w:rsidR="0069619A">
        <w:rPr>
          <w:rFonts w:ascii="Times New Roman" w:hAnsi="Times New Roman" w:cs="Times New Roman"/>
          <w:sz w:val="24"/>
          <w:szCs w:val="24"/>
        </w:rPr>
        <w:t>s of improvements to</w:t>
      </w:r>
      <w:r w:rsidR="00245B27">
        <w:rPr>
          <w:rFonts w:ascii="Times New Roman" w:hAnsi="Times New Roman" w:cs="Times New Roman"/>
          <w:sz w:val="24"/>
          <w:szCs w:val="24"/>
        </w:rPr>
        <w:t xml:space="preserve"> </w:t>
      </w:r>
      <w:r>
        <w:rPr>
          <w:rFonts w:ascii="Times New Roman" w:hAnsi="Times New Roman" w:cs="Times New Roman"/>
          <w:sz w:val="24"/>
          <w:szCs w:val="24"/>
        </w:rPr>
        <w:t xml:space="preserve">her partner’s </w:t>
      </w:r>
      <w:r w:rsidR="00245B27">
        <w:rPr>
          <w:rFonts w:ascii="Times New Roman" w:hAnsi="Times New Roman" w:cs="Times New Roman"/>
          <w:sz w:val="24"/>
          <w:szCs w:val="24"/>
        </w:rPr>
        <w:t>home made in anticipation of their</w:t>
      </w:r>
      <w:r>
        <w:rPr>
          <w:rFonts w:ascii="Times New Roman" w:hAnsi="Times New Roman" w:cs="Times New Roman"/>
          <w:sz w:val="24"/>
          <w:szCs w:val="24"/>
        </w:rPr>
        <w:t xml:space="preserve"> </w:t>
      </w:r>
      <w:r w:rsidR="0069619A">
        <w:rPr>
          <w:rFonts w:ascii="Times New Roman" w:hAnsi="Times New Roman" w:cs="Times New Roman"/>
          <w:sz w:val="24"/>
          <w:szCs w:val="24"/>
        </w:rPr>
        <w:t xml:space="preserve">(agreed) </w:t>
      </w:r>
      <w:r>
        <w:rPr>
          <w:rFonts w:ascii="Times New Roman" w:hAnsi="Times New Roman" w:cs="Times New Roman"/>
          <w:sz w:val="24"/>
          <w:szCs w:val="24"/>
        </w:rPr>
        <w:t>marriage that never took place.</w:t>
      </w:r>
      <w:r w:rsidR="00245B27">
        <w:rPr>
          <w:rFonts w:ascii="Times New Roman" w:hAnsi="Times New Roman" w:cs="Times New Roman"/>
          <w:sz w:val="24"/>
          <w:szCs w:val="24"/>
        </w:rPr>
        <w:t xml:space="preserve"> </w:t>
      </w:r>
      <w:r w:rsidR="000008E6" w:rsidRPr="000008E6">
        <w:rPr>
          <w:rFonts w:ascii="Times New Roman" w:hAnsi="Times New Roman" w:cs="Times New Roman"/>
          <w:sz w:val="24"/>
          <w:szCs w:val="24"/>
        </w:rPr>
        <w:t>By contrast</w:t>
      </w:r>
      <w:r w:rsidR="001236B0">
        <w:rPr>
          <w:rFonts w:ascii="Times New Roman" w:hAnsi="Times New Roman" w:cs="Times New Roman"/>
          <w:sz w:val="24"/>
          <w:szCs w:val="24"/>
        </w:rPr>
        <w:t>,</w:t>
      </w:r>
      <w:r w:rsidR="000008E6" w:rsidRPr="000008E6">
        <w:rPr>
          <w:rFonts w:ascii="Times New Roman" w:hAnsi="Times New Roman" w:cs="Times New Roman"/>
          <w:sz w:val="24"/>
          <w:szCs w:val="24"/>
        </w:rPr>
        <w:t xml:space="preserve"> </w:t>
      </w:r>
      <w:r w:rsidR="00245B27">
        <w:rPr>
          <w:rFonts w:ascii="Times New Roman" w:hAnsi="Times New Roman" w:cs="Times New Roman"/>
          <w:sz w:val="24"/>
          <w:szCs w:val="24"/>
        </w:rPr>
        <w:t xml:space="preserve">a very different </w:t>
      </w:r>
      <w:r w:rsidR="000008E6" w:rsidRPr="000008E6">
        <w:rPr>
          <w:rFonts w:ascii="Times New Roman" w:hAnsi="Times New Roman" w:cs="Times New Roman"/>
          <w:sz w:val="24"/>
          <w:szCs w:val="24"/>
        </w:rPr>
        <w:t xml:space="preserve">paradigm is </w:t>
      </w:r>
      <w:r w:rsidR="00245B27">
        <w:rPr>
          <w:rFonts w:ascii="Times New Roman" w:hAnsi="Times New Roman" w:cs="Times New Roman"/>
          <w:sz w:val="24"/>
          <w:szCs w:val="24"/>
        </w:rPr>
        <w:t xml:space="preserve">that of </w:t>
      </w:r>
      <w:r w:rsidR="000008E6" w:rsidRPr="000008E6">
        <w:rPr>
          <w:rFonts w:ascii="Times New Roman" w:hAnsi="Times New Roman" w:cs="Times New Roman"/>
          <w:sz w:val="24"/>
          <w:szCs w:val="24"/>
        </w:rPr>
        <w:t xml:space="preserve">the good </w:t>
      </w:r>
      <w:r w:rsidR="00245B27">
        <w:rPr>
          <w:rFonts w:ascii="Times New Roman" w:hAnsi="Times New Roman" w:cs="Times New Roman"/>
          <w:sz w:val="24"/>
          <w:szCs w:val="24"/>
        </w:rPr>
        <w:t xml:space="preserve">faith possessor who builds </w:t>
      </w:r>
      <w:r w:rsidR="000008E6" w:rsidRPr="000008E6">
        <w:rPr>
          <w:rFonts w:ascii="Times New Roman" w:hAnsi="Times New Roman" w:cs="Times New Roman"/>
          <w:sz w:val="24"/>
          <w:szCs w:val="24"/>
        </w:rPr>
        <w:t xml:space="preserve">on another person’s land in the mistaken belief that the </w:t>
      </w:r>
      <w:r w:rsidR="001236B0">
        <w:rPr>
          <w:rFonts w:ascii="Times New Roman" w:hAnsi="Times New Roman" w:cs="Times New Roman"/>
          <w:sz w:val="24"/>
          <w:szCs w:val="24"/>
        </w:rPr>
        <w:t xml:space="preserve">land </w:t>
      </w:r>
      <w:r w:rsidR="00245B27">
        <w:rPr>
          <w:rFonts w:ascii="Times New Roman" w:hAnsi="Times New Roman" w:cs="Times New Roman"/>
          <w:sz w:val="24"/>
          <w:szCs w:val="24"/>
        </w:rPr>
        <w:t xml:space="preserve">is </w:t>
      </w:r>
      <w:r w:rsidR="000008E6" w:rsidRPr="000008E6">
        <w:rPr>
          <w:rFonts w:ascii="Times New Roman" w:hAnsi="Times New Roman" w:cs="Times New Roman"/>
          <w:sz w:val="24"/>
          <w:szCs w:val="24"/>
        </w:rPr>
        <w:t xml:space="preserve">his own. </w:t>
      </w:r>
      <w:r w:rsidR="000008E6">
        <w:rPr>
          <w:rFonts w:ascii="Times New Roman" w:hAnsi="Times New Roman" w:cs="Times New Roman"/>
          <w:sz w:val="24"/>
          <w:szCs w:val="24"/>
        </w:rPr>
        <w:t xml:space="preserve">In this </w:t>
      </w:r>
      <w:r w:rsidR="00245B27">
        <w:rPr>
          <w:rFonts w:ascii="Times New Roman" w:hAnsi="Times New Roman" w:cs="Times New Roman"/>
          <w:sz w:val="24"/>
          <w:szCs w:val="24"/>
        </w:rPr>
        <w:t xml:space="preserve">instance </w:t>
      </w:r>
      <w:r w:rsidR="004634A8">
        <w:rPr>
          <w:rFonts w:ascii="Times New Roman" w:hAnsi="Times New Roman" w:cs="Times New Roman"/>
          <w:sz w:val="24"/>
          <w:szCs w:val="24"/>
          <w:lang w:val="en-US"/>
        </w:rPr>
        <w:t xml:space="preserve">there has been no dealings </w:t>
      </w:r>
      <w:r w:rsidR="007D67C7">
        <w:rPr>
          <w:rFonts w:ascii="Times New Roman" w:hAnsi="Times New Roman" w:cs="Times New Roman"/>
          <w:sz w:val="24"/>
          <w:szCs w:val="24"/>
          <w:lang w:val="en-US"/>
        </w:rPr>
        <w:t xml:space="preserve">leading to a </w:t>
      </w:r>
      <w:r w:rsidR="00333E55">
        <w:rPr>
          <w:rFonts w:ascii="Times New Roman" w:hAnsi="Times New Roman" w:cs="Times New Roman"/>
          <w:sz w:val="24"/>
          <w:szCs w:val="24"/>
          <w:lang w:val="en-US"/>
        </w:rPr>
        <w:t>transaction</w:t>
      </w:r>
      <w:r w:rsidR="000008E6">
        <w:rPr>
          <w:rFonts w:ascii="Times New Roman" w:hAnsi="Times New Roman" w:cs="Times New Roman"/>
          <w:sz w:val="24"/>
          <w:szCs w:val="24"/>
          <w:lang w:val="en-US"/>
        </w:rPr>
        <w:t xml:space="preserve"> </w:t>
      </w:r>
      <w:r w:rsidR="007D67C7">
        <w:rPr>
          <w:rFonts w:ascii="Times New Roman" w:hAnsi="Times New Roman" w:cs="Times New Roman"/>
          <w:sz w:val="24"/>
          <w:szCs w:val="24"/>
          <w:lang w:val="en-US"/>
        </w:rPr>
        <w:t xml:space="preserve">or agreement </w:t>
      </w:r>
      <w:r w:rsidR="000008E6">
        <w:rPr>
          <w:rFonts w:ascii="Times New Roman" w:hAnsi="Times New Roman" w:cs="Times New Roman"/>
          <w:sz w:val="24"/>
          <w:szCs w:val="24"/>
          <w:lang w:val="en-US"/>
        </w:rPr>
        <w:t>between the</w:t>
      </w:r>
      <w:r w:rsidR="000C339D">
        <w:rPr>
          <w:rFonts w:ascii="Times New Roman" w:hAnsi="Times New Roman" w:cs="Times New Roman"/>
          <w:sz w:val="24"/>
          <w:szCs w:val="24"/>
          <w:lang w:val="en-US"/>
        </w:rPr>
        <w:t xml:space="preserve"> parties</w:t>
      </w:r>
      <w:r w:rsidR="000008E6">
        <w:rPr>
          <w:rFonts w:ascii="Times New Roman" w:hAnsi="Times New Roman" w:cs="Times New Roman"/>
          <w:sz w:val="24"/>
          <w:szCs w:val="24"/>
          <w:lang w:val="en-US"/>
        </w:rPr>
        <w:t>. Classically the owner of the land i</w:t>
      </w:r>
      <w:r w:rsidR="00CE5FEA">
        <w:rPr>
          <w:rFonts w:ascii="Times New Roman" w:hAnsi="Times New Roman" w:cs="Times New Roman"/>
          <w:sz w:val="24"/>
          <w:szCs w:val="24"/>
          <w:lang w:val="en-US"/>
        </w:rPr>
        <w:t>s</w:t>
      </w:r>
      <w:r w:rsidR="000008E6">
        <w:rPr>
          <w:rFonts w:ascii="Times New Roman" w:hAnsi="Times New Roman" w:cs="Times New Roman"/>
          <w:sz w:val="24"/>
          <w:szCs w:val="24"/>
          <w:lang w:val="en-US"/>
        </w:rPr>
        <w:t xml:space="preserve"> enriched without his knowledge and for this reason</w:t>
      </w:r>
      <w:r w:rsidR="001236B0">
        <w:rPr>
          <w:rFonts w:ascii="Times New Roman" w:hAnsi="Times New Roman" w:cs="Times New Roman"/>
          <w:sz w:val="24"/>
          <w:szCs w:val="24"/>
          <w:lang w:val="en-US"/>
        </w:rPr>
        <w:t xml:space="preserve">, if only for differentiation </w:t>
      </w:r>
      <w:r w:rsidR="006509E7">
        <w:rPr>
          <w:rFonts w:ascii="Times New Roman" w:hAnsi="Times New Roman" w:cs="Times New Roman"/>
          <w:sz w:val="24"/>
          <w:szCs w:val="24"/>
          <w:lang w:val="en-US"/>
        </w:rPr>
        <w:t xml:space="preserve">from the </w:t>
      </w:r>
      <w:r w:rsidR="006509E7" w:rsidRPr="006509E7">
        <w:rPr>
          <w:rFonts w:ascii="Times New Roman" w:hAnsi="Times New Roman" w:cs="Times New Roman"/>
          <w:i/>
          <w:sz w:val="24"/>
          <w:szCs w:val="24"/>
          <w:lang w:val="en-US"/>
        </w:rPr>
        <w:t>condictio</w:t>
      </w:r>
      <w:r w:rsidR="006509E7">
        <w:rPr>
          <w:rFonts w:ascii="Times New Roman" w:hAnsi="Times New Roman" w:cs="Times New Roman"/>
          <w:sz w:val="24"/>
          <w:szCs w:val="24"/>
          <w:lang w:val="en-US"/>
        </w:rPr>
        <w:t xml:space="preserve"> </w:t>
      </w:r>
      <w:r w:rsidR="001236B0">
        <w:rPr>
          <w:rFonts w:ascii="Times New Roman" w:hAnsi="Times New Roman" w:cs="Times New Roman"/>
          <w:sz w:val="24"/>
          <w:szCs w:val="24"/>
          <w:lang w:val="en-US"/>
        </w:rPr>
        <w:t>purposes,</w:t>
      </w:r>
      <w:r w:rsidR="000008E6">
        <w:rPr>
          <w:rFonts w:ascii="Times New Roman" w:hAnsi="Times New Roman" w:cs="Times New Roman"/>
          <w:sz w:val="24"/>
          <w:szCs w:val="24"/>
          <w:lang w:val="en-US"/>
        </w:rPr>
        <w:t xml:space="preserve"> it is usefully </w:t>
      </w:r>
      <w:r w:rsidR="001236B0">
        <w:rPr>
          <w:rFonts w:ascii="Times New Roman" w:hAnsi="Times New Roman" w:cs="Times New Roman"/>
          <w:sz w:val="24"/>
          <w:szCs w:val="24"/>
          <w:lang w:val="en-US"/>
        </w:rPr>
        <w:t xml:space="preserve">now </w:t>
      </w:r>
      <w:r w:rsidR="000008E6">
        <w:rPr>
          <w:rFonts w:ascii="Times New Roman" w:hAnsi="Times New Roman" w:cs="Times New Roman"/>
          <w:sz w:val="24"/>
          <w:szCs w:val="24"/>
          <w:lang w:val="en-US"/>
        </w:rPr>
        <w:t>described as an “imposition” of enrichment case.</w:t>
      </w:r>
    </w:p>
    <w:p w14:paraId="66F74351" w14:textId="77777777" w:rsidR="005A75F2" w:rsidRPr="005A75F2" w:rsidRDefault="00116ACF" w:rsidP="00E8627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r w:rsidR="00333E55">
        <w:rPr>
          <w:rFonts w:ascii="Times New Roman" w:hAnsi="Times New Roman" w:cs="Times New Roman"/>
          <w:sz w:val="24"/>
          <w:szCs w:val="24"/>
          <w:lang w:val="en-US"/>
        </w:rPr>
        <w:t>Justinianic text</w:t>
      </w:r>
      <w:r w:rsidR="000C339D">
        <w:rPr>
          <w:rFonts w:ascii="Times New Roman" w:hAnsi="Times New Roman" w:cs="Times New Roman"/>
          <w:sz w:val="24"/>
          <w:szCs w:val="24"/>
          <w:lang w:val="en-US"/>
        </w:rPr>
        <w:t xml:space="preserve"> – and therefore in Roman law -</w:t>
      </w:r>
      <w:r w:rsidR="00333E55">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333E55">
        <w:rPr>
          <w:rFonts w:ascii="Times New Roman" w:hAnsi="Times New Roman" w:cs="Times New Roman"/>
          <w:sz w:val="24"/>
          <w:szCs w:val="24"/>
          <w:lang w:val="en-US"/>
        </w:rPr>
        <w:t xml:space="preserve">e </w:t>
      </w:r>
      <w:r w:rsidR="005A75F2" w:rsidRPr="005A75F2">
        <w:rPr>
          <w:rFonts w:ascii="Times New Roman" w:hAnsi="Times New Roman" w:cs="Times New Roman"/>
          <w:sz w:val="24"/>
          <w:szCs w:val="24"/>
          <w:lang w:val="en-US"/>
        </w:rPr>
        <w:t>should note in particular</w:t>
      </w:r>
      <w:r w:rsidR="00E8627A">
        <w:rPr>
          <w:rFonts w:ascii="Times New Roman" w:hAnsi="Times New Roman" w:cs="Times New Roman"/>
          <w:sz w:val="24"/>
          <w:szCs w:val="24"/>
          <w:lang w:val="en-US"/>
        </w:rPr>
        <w:t xml:space="preserve"> that</w:t>
      </w:r>
      <w:r w:rsidR="005A75F2" w:rsidRPr="005A75F2">
        <w:rPr>
          <w:rFonts w:ascii="Times New Roman" w:hAnsi="Times New Roman" w:cs="Times New Roman"/>
          <w:sz w:val="24"/>
          <w:szCs w:val="24"/>
          <w:lang w:val="en-US"/>
        </w:rPr>
        <w:t xml:space="preserve">: (a) the discussion appears in book two of </w:t>
      </w:r>
      <w:r w:rsidR="001236B0">
        <w:rPr>
          <w:rFonts w:ascii="Times New Roman" w:hAnsi="Times New Roman" w:cs="Times New Roman"/>
          <w:sz w:val="24"/>
          <w:szCs w:val="24"/>
          <w:lang w:val="en-US"/>
        </w:rPr>
        <w:t xml:space="preserve">the </w:t>
      </w:r>
      <w:r w:rsidR="005A75F2" w:rsidRPr="005A75F2">
        <w:rPr>
          <w:rFonts w:ascii="Times New Roman" w:hAnsi="Times New Roman" w:cs="Times New Roman"/>
          <w:i/>
          <w:iCs/>
          <w:sz w:val="24"/>
          <w:szCs w:val="24"/>
          <w:lang w:val="en-US"/>
        </w:rPr>
        <w:t>Institutes</w:t>
      </w:r>
      <w:r w:rsidR="005A75F2" w:rsidRPr="005A75F2">
        <w:rPr>
          <w:rFonts w:ascii="Times New Roman" w:hAnsi="Times New Roman" w:cs="Times New Roman"/>
          <w:sz w:val="24"/>
          <w:szCs w:val="24"/>
          <w:lang w:val="en-US"/>
        </w:rPr>
        <w:t xml:space="preserve"> which concerns the law of property; (b) the problem arises because of the operation of the rules of accession; (c) the</w:t>
      </w:r>
      <w:r w:rsidR="00BD346D">
        <w:rPr>
          <w:rFonts w:ascii="Times New Roman" w:hAnsi="Times New Roman" w:cs="Times New Roman"/>
          <w:sz w:val="24"/>
          <w:szCs w:val="24"/>
          <w:lang w:val="en-US"/>
        </w:rPr>
        <w:t xml:space="preserve"> builder</w:t>
      </w:r>
      <w:r w:rsidR="005A75F2" w:rsidRPr="005A75F2">
        <w:rPr>
          <w:rFonts w:ascii="Times New Roman" w:hAnsi="Times New Roman" w:cs="Times New Roman"/>
          <w:sz w:val="24"/>
          <w:szCs w:val="24"/>
          <w:lang w:val="en-US"/>
        </w:rPr>
        <w:t xml:space="preserve">, although not an owner, has status in the law of property. He is a </w:t>
      </w:r>
      <w:r w:rsidR="005A75F2" w:rsidRPr="005A75F2">
        <w:rPr>
          <w:rFonts w:ascii="Times New Roman" w:hAnsi="Times New Roman" w:cs="Times New Roman"/>
          <w:i/>
          <w:sz w:val="24"/>
          <w:szCs w:val="24"/>
          <w:lang w:val="en-US"/>
        </w:rPr>
        <w:t xml:space="preserve">possessor </w:t>
      </w:r>
      <w:r w:rsidR="005A75F2" w:rsidRPr="005A75F2">
        <w:rPr>
          <w:rFonts w:ascii="Times New Roman" w:hAnsi="Times New Roman" w:cs="Times New Roman"/>
          <w:sz w:val="24"/>
          <w:szCs w:val="24"/>
          <w:lang w:val="en-US"/>
        </w:rPr>
        <w:t>whose rights are exercised</w:t>
      </w:r>
      <w:r w:rsidR="005A75F2" w:rsidRPr="005A75F2">
        <w:rPr>
          <w:rFonts w:ascii="Times New Roman" w:hAnsi="Times New Roman" w:cs="Times New Roman"/>
          <w:i/>
          <w:sz w:val="24"/>
          <w:szCs w:val="24"/>
          <w:lang w:val="en-US"/>
        </w:rPr>
        <w:t xml:space="preserve"> in rem</w:t>
      </w:r>
      <w:r w:rsidR="005A75F2" w:rsidRPr="005A75F2">
        <w:rPr>
          <w:rFonts w:ascii="Times New Roman" w:hAnsi="Times New Roman" w:cs="Times New Roman"/>
          <w:sz w:val="24"/>
          <w:szCs w:val="24"/>
          <w:lang w:val="en-US"/>
        </w:rPr>
        <w:t>. It is the</w:t>
      </w:r>
      <w:r w:rsidR="002004B8">
        <w:rPr>
          <w:rFonts w:ascii="Times New Roman" w:hAnsi="Times New Roman" w:cs="Times New Roman"/>
          <w:sz w:val="24"/>
          <w:szCs w:val="24"/>
          <w:lang w:val="en-US"/>
        </w:rPr>
        <w:t>refore his</w:t>
      </w:r>
      <w:r w:rsidR="005A75F2" w:rsidRPr="005A75F2">
        <w:rPr>
          <w:rFonts w:ascii="Times New Roman" w:hAnsi="Times New Roman" w:cs="Times New Roman"/>
          <w:sz w:val="24"/>
          <w:szCs w:val="24"/>
          <w:lang w:val="en-US"/>
        </w:rPr>
        <w:t xml:space="preserve"> property </w:t>
      </w:r>
      <w:r w:rsidR="002004B8">
        <w:rPr>
          <w:rFonts w:ascii="Times New Roman" w:hAnsi="Times New Roman" w:cs="Times New Roman"/>
          <w:sz w:val="24"/>
          <w:szCs w:val="24"/>
          <w:lang w:val="en-US"/>
        </w:rPr>
        <w:t xml:space="preserve">law </w:t>
      </w:r>
      <w:r w:rsidR="005A75F2" w:rsidRPr="005A75F2">
        <w:rPr>
          <w:rFonts w:ascii="Times New Roman" w:hAnsi="Times New Roman" w:cs="Times New Roman"/>
          <w:sz w:val="24"/>
          <w:szCs w:val="24"/>
          <w:lang w:val="en-US"/>
        </w:rPr>
        <w:t>status that entitles him to a claim for the</w:t>
      </w:r>
      <w:r>
        <w:rPr>
          <w:rFonts w:ascii="Times New Roman" w:hAnsi="Times New Roman" w:cs="Times New Roman"/>
          <w:sz w:val="24"/>
          <w:szCs w:val="24"/>
          <w:lang w:val="en-US"/>
        </w:rPr>
        <w:t xml:space="preserve"> building outlays</w:t>
      </w:r>
      <w:r w:rsidR="005A75F2" w:rsidRPr="005A75F2">
        <w:rPr>
          <w:rFonts w:ascii="Times New Roman" w:hAnsi="Times New Roman" w:cs="Times New Roman"/>
          <w:sz w:val="24"/>
          <w:szCs w:val="24"/>
          <w:lang w:val="en-US"/>
        </w:rPr>
        <w:t xml:space="preserve">; (d) the claim is allowed only to the possessor who thinks that he is owner; he must be in good faith; (e) the bad faith possessor is someone who knows, when he improves the property, that he was not the owner; such a person is not allowed a claim; (f) the claim of the good faith possessor is in the form only of a defence to the owner’s </w:t>
      </w:r>
      <w:r w:rsidR="005A75F2" w:rsidRPr="005A75F2">
        <w:rPr>
          <w:rFonts w:ascii="Times New Roman" w:hAnsi="Times New Roman" w:cs="Times New Roman"/>
          <w:i/>
          <w:iCs/>
          <w:sz w:val="24"/>
          <w:szCs w:val="24"/>
          <w:lang w:val="en-US"/>
        </w:rPr>
        <w:t>vindicatio</w:t>
      </w:r>
      <w:r w:rsidR="005A75F2" w:rsidRPr="005A75F2">
        <w:rPr>
          <w:rFonts w:ascii="Times New Roman" w:hAnsi="Times New Roman" w:cs="Times New Roman"/>
          <w:sz w:val="24"/>
          <w:szCs w:val="24"/>
          <w:lang w:val="en-US"/>
        </w:rPr>
        <w:t>. It therefore arises only on the prospect of dispossession in a legal process; (g) the possessor may claim his outlay costs in respect of materials and labour from the owner. There is no suggestion that the measure of recovery is related in any degree to a conception of enrichment of the owner at the expense of the improver.</w:t>
      </w:r>
      <w:r w:rsidR="005A75F2">
        <w:rPr>
          <w:rFonts w:ascii="Times New Roman" w:hAnsi="Times New Roman" w:cs="Times New Roman"/>
          <w:sz w:val="24"/>
          <w:szCs w:val="24"/>
          <w:lang w:val="en-US"/>
        </w:rPr>
        <w:t xml:space="preserve"> However, in a seismic development in the second life of Roman law, both in Scots and South African law, the building by mistake on another’s land case </w:t>
      </w:r>
      <w:r w:rsidR="007D67C7">
        <w:rPr>
          <w:rFonts w:ascii="Times New Roman" w:hAnsi="Times New Roman" w:cs="Times New Roman"/>
          <w:sz w:val="24"/>
          <w:szCs w:val="24"/>
          <w:lang w:val="en-US"/>
        </w:rPr>
        <w:t xml:space="preserve">is </w:t>
      </w:r>
      <w:r w:rsidR="005A75F2">
        <w:rPr>
          <w:rFonts w:ascii="Times New Roman" w:hAnsi="Times New Roman" w:cs="Times New Roman"/>
          <w:sz w:val="24"/>
          <w:szCs w:val="24"/>
          <w:lang w:val="en-US"/>
        </w:rPr>
        <w:t xml:space="preserve">no longer conceived as </w:t>
      </w:r>
      <w:r>
        <w:rPr>
          <w:rFonts w:ascii="Times New Roman" w:hAnsi="Times New Roman" w:cs="Times New Roman"/>
          <w:sz w:val="24"/>
          <w:szCs w:val="24"/>
          <w:lang w:val="en-US"/>
        </w:rPr>
        <w:t xml:space="preserve">raising </w:t>
      </w:r>
      <w:r w:rsidR="005A75F2">
        <w:rPr>
          <w:rFonts w:ascii="Times New Roman" w:hAnsi="Times New Roman" w:cs="Times New Roman"/>
          <w:sz w:val="24"/>
          <w:szCs w:val="24"/>
          <w:lang w:val="en-US"/>
        </w:rPr>
        <w:t>an issue of property law but of unjustified enrichment.</w:t>
      </w:r>
      <w:r w:rsidR="00BD346D">
        <w:rPr>
          <w:rFonts w:ascii="Times New Roman" w:hAnsi="Times New Roman" w:cs="Times New Roman"/>
          <w:sz w:val="24"/>
          <w:szCs w:val="24"/>
          <w:lang w:val="en-US"/>
        </w:rPr>
        <w:t xml:space="preserve"> </w:t>
      </w:r>
      <w:r w:rsidR="00D726CC" w:rsidRPr="00D726CC">
        <w:rPr>
          <w:rFonts w:ascii="Times New Roman" w:hAnsi="Times New Roman" w:cs="Times New Roman"/>
          <w:i/>
          <w:sz w:val="24"/>
          <w:szCs w:val="24"/>
          <w:lang w:val="en-US"/>
        </w:rPr>
        <w:t>Ex facie</w:t>
      </w:r>
      <w:r w:rsidR="00D726CC">
        <w:rPr>
          <w:rFonts w:ascii="Times New Roman" w:hAnsi="Times New Roman" w:cs="Times New Roman"/>
          <w:sz w:val="24"/>
          <w:szCs w:val="24"/>
          <w:lang w:val="en-US"/>
        </w:rPr>
        <w:t>, t</w:t>
      </w:r>
      <w:r w:rsidR="007D67C7">
        <w:rPr>
          <w:rFonts w:ascii="Times New Roman" w:hAnsi="Times New Roman" w:cs="Times New Roman"/>
          <w:sz w:val="24"/>
          <w:szCs w:val="24"/>
          <w:lang w:val="en-US"/>
        </w:rPr>
        <w:t xml:space="preserve">his </w:t>
      </w:r>
      <w:r w:rsidR="00D726CC">
        <w:rPr>
          <w:rFonts w:ascii="Times New Roman" w:hAnsi="Times New Roman" w:cs="Times New Roman"/>
          <w:sz w:val="24"/>
          <w:szCs w:val="24"/>
          <w:lang w:val="en-US"/>
        </w:rPr>
        <w:t>does, or should, import</w:t>
      </w:r>
      <w:r w:rsidR="007D67C7">
        <w:rPr>
          <w:rFonts w:ascii="Times New Roman" w:hAnsi="Times New Roman" w:cs="Times New Roman"/>
          <w:sz w:val="24"/>
          <w:szCs w:val="24"/>
          <w:lang w:val="en-US"/>
        </w:rPr>
        <w:t xml:space="preserve"> major changes. The claim </w:t>
      </w:r>
      <w:r w:rsidR="00D726CC">
        <w:rPr>
          <w:rFonts w:ascii="Times New Roman" w:hAnsi="Times New Roman" w:cs="Times New Roman"/>
          <w:sz w:val="24"/>
          <w:szCs w:val="24"/>
          <w:lang w:val="en-US"/>
        </w:rPr>
        <w:t xml:space="preserve">of the improver is now regulated by </w:t>
      </w:r>
      <w:r w:rsidR="007D67C7">
        <w:rPr>
          <w:rFonts w:ascii="Times New Roman" w:hAnsi="Times New Roman" w:cs="Times New Roman"/>
          <w:sz w:val="24"/>
          <w:szCs w:val="24"/>
          <w:lang w:val="en-US"/>
        </w:rPr>
        <w:t>the law of obligations, the plaintiff/pursuer has both a defence and a positive right of action and the measure of recovery may be referenced to the owner’s enrichment.</w:t>
      </w:r>
    </w:p>
    <w:p w14:paraId="36DE6B58" w14:textId="77777777" w:rsidR="002004B8" w:rsidRPr="00D66C4F" w:rsidRDefault="00D66C4F" w:rsidP="009F2C9E">
      <w:pPr>
        <w:keepNext/>
        <w:spacing w:after="0" w:line="360" w:lineRule="auto"/>
        <w:jc w:val="both"/>
        <w:rPr>
          <w:rFonts w:ascii="Times New Roman" w:hAnsi="Times New Roman" w:cs="Times New Roman"/>
          <w:i/>
          <w:sz w:val="24"/>
          <w:szCs w:val="24"/>
          <w:lang w:val="en-US"/>
        </w:rPr>
      </w:pPr>
      <w:r w:rsidRPr="00D66C4F">
        <w:rPr>
          <w:rFonts w:ascii="Times New Roman" w:hAnsi="Times New Roman" w:cs="Times New Roman"/>
          <w:sz w:val="24"/>
          <w:szCs w:val="24"/>
          <w:lang w:val="en-US"/>
        </w:rPr>
        <w:t>“</w:t>
      </w:r>
      <w:r w:rsidR="00711543" w:rsidRPr="00D66C4F">
        <w:rPr>
          <w:rFonts w:ascii="Times New Roman" w:hAnsi="Times New Roman" w:cs="Times New Roman"/>
          <w:i/>
          <w:sz w:val="24"/>
          <w:szCs w:val="24"/>
          <w:lang w:val="en-US"/>
        </w:rPr>
        <w:t>The</w:t>
      </w:r>
      <w:r w:rsidRPr="00D66C4F">
        <w:rPr>
          <w:rFonts w:ascii="Times New Roman" w:hAnsi="Times New Roman" w:cs="Times New Roman"/>
          <w:sz w:val="24"/>
          <w:szCs w:val="24"/>
          <w:lang w:val="en-US"/>
        </w:rPr>
        <w:t>”</w:t>
      </w:r>
      <w:r w:rsidR="00711543" w:rsidRPr="00D66C4F">
        <w:rPr>
          <w:rFonts w:ascii="Times New Roman" w:hAnsi="Times New Roman" w:cs="Times New Roman"/>
          <w:i/>
          <w:sz w:val="24"/>
          <w:szCs w:val="24"/>
          <w:lang w:val="en-US"/>
        </w:rPr>
        <w:t xml:space="preserve"> </w:t>
      </w:r>
      <w:r w:rsidR="002004B8" w:rsidRPr="00D66C4F">
        <w:rPr>
          <w:rFonts w:ascii="Times New Roman" w:hAnsi="Times New Roman" w:cs="Times New Roman"/>
          <w:i/>
          <w:sz w:val="24"/>
          <w:szCs w:val="24"/>
          <w:lang w:val="en-US"/>
        </w:rPr>
        <w:t xml:space="preserve">Paradigm </w:t>
      </w:r>
    </w:p>
    <w:p w14:paraId="0DC8DE8C" w14:textId="7E0A8E35" w:rsidR="00D66C4F" w:rsidRDefault="00D726CC" w:rsidP="00D5166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Notwithstanding the availability of the </w:t>
      </w:r>
      <w:r w:rsidRPr="00D726CC">
        <w:rPr>
          <w:rFonts w:ascii="Times New Roman" w:hAnsi="Times New Roman" w:cs="Times New Roman"/>
          <w:i/>
          <w:sz w:val="24"/>
          <w:szCs w:val="24"/>
          <w:lang w:val="en-US"/>
        </w:rPr>
        <w:t>condictio</w:t>
      </w:r>
      <w:r>
        <w:rPr>
          <w:rFonts w:ascii="Times New Roman" w:hAnsi="Times New Roman" w:cs="Times New Roman"/>
          <w:sz w:val="24"/>
          <w:szCs w:val="24"/>
          <w:lang w:val="en-US"/>
        </w:rPr>
        <w:t xml:space="preserve"> claims, </w:t>
      </w:r>
      <w:r w:rsidR="002004B8">
        <w:rPr>
          <w:rFonts w:ascii="Times New Roman" w:hAnsi="Times New Roman" w:cs="Times New Roman"/>
          <w:sz w:val="24"/>
          <w:szCs w:val="24"/>
          <w:lang w:val="en-US"/>
        </w:rPr>
        <w:t>Justin</w:t>
      </w:r>
      <w:r w:rsidR="00BD346D">
        <w:rPr>
          <w:rFonts w:ascii="Times New Roman" w:hAnsi="Times New Roman" w:cs="Times New Roman"/>
          <w:sz w:val="24"/>
          <w:szCs w:val="24"/>
          <w:lang w:val="en-US"/>
        </w:rPr>
        <w:t>i</w:t>
      </w:r>
      <w:r w:rsidR="002004B8">
        <w:rPr>
          <w:rFonts w:ascii="Times New Roman" w:hAnsi="Times New Roman" w:cs="Times New Roman"/>
          <w:sz w:val="24"/>
          <w:szCs w:val="24"/>
          <w:lang w:val="en-US"/>
        </w:rPr>
        <w:t>an’s text on the good faith possessor</w:t>
      </w:r>
      <w:r w:rsidR="00BD346D">
        <w:rPr>
          <w:rFonts w:ascii="Times New Roman" w:hAnsi="Times New Roman" w:cs="Times New Roman"/>
          <w:sz w:val="24"/>
          <w:szCs w:val="24"/>
          <w:lang w:val="en-US"/>
        </w:rPr>
        <w:t>/build</w:t>
      </w:r>
      <w:r w:rsidR="00832A8E">
        <w:rPr>
          <w:rFonts w:ascii="Times New Roman" w:hAnsi="Times New Roman" w:cs="Times New Roman"/>
          <w:sz w:val="24"/>
          <w:szCs w:val="24"/>
          <w:lang w:val="en-US"/>
        </w:rPr>
        <w:t>e</w:t>
      </w:r>
      <w:r w:rsidR="00BD346D">
        <w:rPr>
          <w:rFonts w:ascii="Times New Roman" w:hAnsi="Times New Roman" w:cs="Times New Roman"/>
          <w:sz w:val="24"/>
          <w:szCs w:val="24"/>
          <w:lang w:val="en-US"/>
        </w:rPr>
        <w:t>r</w:t>
      </w:r>
      <w:r w:rsidR="00EA2D1D">
        <w:rPr>
          <w:rFonts w:ascii="Times New Roman" w:hAnsi="Times New Roman" w:cs="Times New Roman"/>
          <w:sz w:val="24"/>
          <w:szCs w:val="24"/>
          <w:lang w:val="en-US"/>
        </w:rPr>
        <w:t xml:space="preserve"> is </w:t>
      </w:r>
      <w:r w:rsidR="00FD7E68">
        <w:rPr>
          <w:rFonts w:ascii="Times New Roman" w:hAnsi="Times New Roman" w:cs="Times New Roman"/>
          <w:sz w:val="24"/>
          <w:szCs w:val="24"/>
          <w:lang w:val="en-US"/>
        </w:rPr>
        <w:t xml:space="preserve">commonly </w:t>
      </w:r>
      <w:r w:rsidR="00204771">
        <w:rPr>
          <w:rFonts w:ascii="Times New Roman" w:hAnsi="Times New Roman" w:cs="Times New Roman"/>
          <w:sz w:val="24"/>
          <w:szCs w:val="24"/>
          <w:lang w:val="en-US"/>
        </w:rPr>
        <w:t xml:space="preserve">treated by both Scottish and South African law </w:t>
      </w:r>
      <w:r w:rsidR="00116ACF">
        <w:rPr>
          <w:rFonts w:ascii="Times New Roman" w:hAnsi="Times New Roman" w:cs="Times New Roman"/>
          <w:sz w:val="24"/>
          <w:szCs w:val="24"/>
          <w:lang w:val="en-US"/>
        </w:rPr>
        <w:t>as the pa</w:t>
      </w:r>
      <w:r w:rsidR="00BD346D">
        <w:rPr>
          <w:rFonts w:ascii="Times New Roman" w:hAnsi="Times New Roman" w:cs="Times New Roman"/>
          <w:sz w:val="24"/>
          <w:szCs w:val="24"/>
          <w:lang w:val="en-US"/>
        </w:rPr>
        <w:t xml:space="preserve">radigm </w:t>
      </w:r>
      <w:r w:rsidR="00116ACF">
        <w:rPr>
          <w:rFonts w:ascii="Times New Roman" w:hAnsi="Times New Roman" w:cs="Times New Roman"/>
          <w:sz w:val="24"/>
          <w:szCs w:val="24"/>
          <w:lang w:val="en-US"/>
        </w:rPr>
        <w:t xml:space="preserve">– the </w:t>
      </w:r>
      <w:r w:rsidR="00116ACF" w:rsidRPr="005A5D3A">
        <w:rPr>
          <w:rFonts w:ascii="Times New Roman" w:hAnsi="Times New Roman" w:cs="Times New Roman"/>
          <w:b/>
          <w:sz w:val="24"/>
          <w:szCs w:val="24"/>
          <w:lang w:val="en-US"/>
        </w:rPr>
        <w:t>“</w:t>
      </w:r>
      <w:r w:rsidR="00116ACF" w:rsidRPr="00D66C4F">
        <w:rPr>
          <w:rFonts w:ascii="Times New Roman" w:hAnsi="Times New Roman" w:cs="Times New Roman"/>
          <w:i/>
          <w:sz w:val="24"/>
          <w:szCs w:val="24"/>
          <w:lang w:val="en-US"/>
        </w:rPr>
        <w:t>typical</w:t>
      </w:r>
      <w:r w:rsidR="00116ACF" w:rsidRPr="005A5D3A">
        <w:rPr>
          <w:rFonts w:ascii="Times New Roman" w:hAnsi="Times New Roman" w:cs="Times New Roman"/>
          <w:b/>
          <w:sz w:val="24"/>
          <w:szCs w:val="24"/>
          <w:lang w:val="en-US"/>
        </w:rPr>
        <w:t>”</w:t>
      </w:r>
      <w:r w:rsidR="00871221">
        <w:rPr>
          <w:rFonts w:ascii="Times New Roman" w:hAnsi="Times New Roman" w:cs="Times New Roman"/>
          <w:b/>
          <w:sz w:val="24"/>
          <w:szCs w:val="24"/>
          <w:lang w:val="en-US"/>
        </w:rPr>
        <w:t xml:space="preserve"> -</w:t>
      </w:r>
      <w:r w:rsidR="00871221">
        <w:rPr>
          <w:rFonts w:ascii="Times New Roman" w:hAnsi="Times New Roman" w:cs="Times New Roman"/>
          <w:sz w:val="24"/>
          <w:szCs w:val="24"/>
          <w:lang w:val="en-US"/>
        </w:rPr>
        <w:t xml:space="preserve"> improvement ca</w:t>
      </w:r>
      <w:r w:rsidR="00C60481">
        <w:rPr>
          <w:rFonts w:ascii="Times New Roman" w:hAnsi="Times New Roman" w:cs="Times New Roman"/>
          <w:sz w:val="24"/>
          <w:szCs w:val="24"/>
          <w:lang w:val="en-US"/>
        </w:rPr>
        <w:t xml:space="preserve">use of action </w:t>
      </w:r>
      <w:r w:rsidR="00116ACF">
        <w:rPr>
          <w:rFonts w:ascii="Times New Roman" w:hAnsi="Times New Roman" w:cs="Times New Roman"/>
          <w:sz w:val="24"/>
          <w:szCs w:val="24"/>
          <w:lang w:val="en-US"/>
        </w:rPr>
        <w:t xml:space="preserve">in </w:t>
      </w:r>
      <w:r w:rsidR="00EA2D1D">
        <w:rPr>
          <w:rFonts w:ascii="Times New Roman" w:hAnsi="Times New Roman" w:cs="Times New Roman"/>
          <w:sz w:val="24"/>
          <w:szCs w:val="24"/>
          <w:lang w:val="en-US"/>
        </w:rPr>
        <w:t>the law of unjustified enrichment</w:t>
      </w:r>
      <w:r w:rsidR="00116ACF">
        <w:rPr>
          <w:rFonts w:ascii="Times New Roman" w:hAnsi="Times New Roman" w:cs="Times New Roman"/>
          <w:sz w:val="24"/>
          <w:szCs w:val="24"/>
          <w:lang w:val="en-US"/>
        </w:rPr>
        <w:t>.</w:t>
      </w:r>
      <w:r w:rsidR="00EA2D1D">
        <w:rPr>
          <w:rFonts w:ascii="Times New Roman" w:hAnsi="Times New Roman" w:cs="Times New Roman"/>
          <w:sz w:val="24"/>
          <w:szCs w:val="24"/>
          <w:lang w:val="en-US"/>
        </w:rPr>
        <w:t xml:space="preserve"> </w:t>
      </w:r>
      <w:r w:rsidR="00D5166B">
        <w:rPr>
          <w:rFonts w:ascii="Times New Roman" w:hAnsi="Times New Roman" w:cs="Times New Roman"/>
          <w:sz w:val="24"/>
          <w:szCs w:val="24"/>
          <w:lang w:val="en-US"/>
        </w:rPr>
        <w:t>Its focus is “improvement</w:t>
      </w:r>
      <w:r w:rsidR="00D66C4F">
        <w:rPr>
          <w:rFonts w:ascii="Times New Roman" w:hAnsi="Times New Roman" w:cs="Times New Roman"/>
          <w:sz w:val="24"/>
          <w:szCs w:val="24"/>
          <w:lang w:val="en-US"/>
        </w:rPr>
        <w:t>s</w:t>
      </w:r>
      <w:r w:rsidR="00D5166B">
        <w:rPr>
          <w:rFonts w:ascii="Times New Roman" w:hAnsi="Times New Roman" w:cs="Times New Roman"/>
          <w:sz w:val="24"/>
          <w:szCs w:val="24"/>
          <w:lang w:val="en-US"/>
        </w:rPr>
        <w:t xml:space="preserve">” alone, </w:t>
      </w:r>
      <w:r w:rsidR="00557C0E">
        <w:rPr>
          <w:rFonts w:ascii="Times New Roman" w:hAnsi="Times New Roman" w:cs="Times New Roman"/>
          <w:sz w:val="24"/>
          <w:szCs w:val="24"/>
          <w:lang w:val="en-US"/>
        </w:rPr>
        <w:t xml:space="preserve">especially where this </w:t>
      </w:r>
      <w:r>
        <w:rPr>
          <w:rFonts w:ascii="Times New Roman" w:hAnsi="Times New Roman" w:cs="Times New Roman"/>
          <w:sz w:val="24"/>
          <w:szCs w:val="24"/>
          <w:lang w:val="en-US"/>
        </w:rPr>
        <w:t xml:space="preserve">in </w:t>
      </w:r>
      <w:r w:rsidR="00557C0E">
        <w:rPr>
          <w:rFonts w:ascii="Times New Roman" w:hAnsi="Times New Roman" w:cs="Times New Roman"/>
          <w:sz w:val="24"/>
          <w:szCs w:val="24"/>
          <w:lang w:val="en-US"/>
        </w:rPr>
        <w:t xml:space="preserve">the form of “building”, </w:t>
      </w:r>
      <w:r w:rsidR="00D5166B">
        <w:rPr>
          <w:rFonts w:ascii="Times New Roman" w:hAnsi="Times New Roman" w:cs="Times New Roman"/>
          <w:sz w:val="24"/>
          <w:szCs w:val="24"/>
          <w:lang w:val="en-US"/>
        </w:rPr>
        <w:t>i</w:t>
      </w:r>
      <w:r w:rsidR="00EA2D1D">
        <w:rPr>
          <w:rFonts w:ascii="Times New Roman" w:hAnsi="Times New Roman" w:cs="Times New Roman"/>
          <w:sz w:val="24"/>
          <w:szCs w:val="24"/>
          <w:lang w:val="en-US"/>
        </w:rPr>
        <w:t xml:space="preserve">t </w:t>
      </w:r>
      <w:r w:rsidR="00116ACF">
        <w:rPr>
          <w:rFonts w:ascii="Times New Roman" w:hAnsi="Times New Roman" w:cs="Times New Roman"/>
          <w:sz w:val="24"/>
          <w:szCs w:val="24"/>
          <w:lang w:val="en-US"/>
        </w:rPr>
        <w:t>h</w:t>
      </w:r>
      <w:r w:rsidR="00EA2D1D">
        <w:rPr>
          <w:rFonts w:ascii="Times New Roman" w:hAnsi="Times New Roman" w:cs="Times New Roman"/>
          <w:sz w:val="24"/>
          <w:szCs w:val="24"/>
          <w:lang w:val="en-US"/>
        </w:rPr>
        <w:t xml:space="preserve">as been taught to students in </w:t>
      </w:r>
      <w:r w:rsidR="00BD346D">
        <w:rPr>
          <w:rFonts w:ascii="Times New Roman" w:hAnsi="Times New Roman" w:cs="Times New Roman"/>
          <w:sz w:val="24"/>
          <w:szCs w:val="24"/>
          <w:lang w:val="en-US"/>
        </w:rPr>
        <w:t>classes on Roman law for centuries</w:t>
      </w:r>
      <w:r w:rsidR="00832A8E">
        <w:rPr>
          <w:rFonts w:ascii="Times New Roman" w:hAnsi="Times New Roman" w:cs="Times New Roman"/>
          <w:sz w:val="24"/>
          <w:szCs w:val="24"/>
          <w:lang w:val="en-US"/>
        </w:rPr>
        <w:t xml:space="preserve"> </w:t>
      </w:r>
      <w:r w:rsidR="00116ACF">
        <w:rPr>
          <w:rFonts w:ascii="Times New Roman" w:hAnsi="Times New Roman" w:cs="Times New Roman"/>
          <w:sz w:val="24"/>
          <w:szCs w:val="24"/>
          <w:lang w:val="en-US"/>
        </w:rPr>
        <w:t xml:space="preserve">and carries with it </w:t>
      </w:r>
      <w:r w:rsidR="00BD346D">
        <w:rPr>
          <w:rFonts w:ascii="Times New Roman" w:hAnsi="Times New Roman" w:cs="Times New Roman"/>
          <w:sz w:val="24"/>
          <w:szCs w:val="24"/>
          <w:lang w:val="en-US"/>
        </w:rPr>
        <w:t xml:space="preserve">the emblematic </w:t>
      </w:r>
      <w:r w:rsidR="00BD346D" w:rsidRPr="00EA2D1D">
        <w:rPr>
          <w:rFonts w:ascii="Times New Roman" w:hAnsi="Times New Roman" w:cs="Times New Roman"/>
          <w:i/>
          <w:sz w:val="24"/>
          <w:szCs w:val="24"/>
          <w:lang w:val="en-US"/>
        </w:rPr>
        <w:t xml:space="preserve">imprimatur </w:t>
      </w:r>
      <w:r w:rsidR="00BD346D">
        <w:rPr>
          <w:rFonts w:ascii="Times New Roman" w:hAnsi="Times New Roman" w:cs="Times New Roman"/>
          <w:sz w:val="24"/>
          <w:szCs w:val="24"/>
          <w:lang w:val="en-US"/>
        </w:rPr>
        <w:t>of Justinian</w:t>
      </w:r>
      <w:r w:rsidR="00EA2D1D">
        <w:rPr>
          <w:rFonts w:ascii="Times New Roman" w:hAnsi="Times New Roman" w:cs="Times New Roman"/>
          <w:sz w:val="24"/>
          <w:szCs w:val="24"/>
          <w:lang w:val="en-US"/>
        </w:rPr>
        <w:t>’s</w:t>
      </w:r>
      <w:r w:rsidR="00BD346D">
        <w:rPr>
          <w:rFonts w:ascii="Times New Roman" w:hAnsi="Times New Roman" w:cs="Times New Roman"/>
          <w:sz w:val="24"/>
          <w:szCs w:val="24"/>
          <w:lang w:val="en-US"/>
        </w:rPr>
        <w:t xml:space="preserve"> </w:t>
      </w:r>
      <w:r w:rsidR="00BD346D" w:rsidRPr="00EA2D1D">
        <w:rPr>
          <w:rFonts w:ascii="Times New Roman" w:hAnsi="Times New Roman" w:cs="Times New Roman"/>
          <w:i/>
          <w:sz w:val="24"/>
          <w:szCs w:val="24"/>
          <w:lang w:val="en-US"/>
        </w:rPr>
        <w:t>Institutes</w:t>
      </w:r>
      <w:r w:rsidR="00832A8E">
        <w:rPr>
          <w:rFonts w:ascii="Times New Roman" w:hAnsi="Times New Roman" w:cs="Times New Roman"/>
          <w:sz w:val="24"/>
          <w:szCs w:val="24"/>
          <w:lang w:val="en-US"/>
        </w:rPr>
        <w:t xml:space="preserve">, </w:t>
      </w:r>
      <w:r w:rsidR="00832A8E" w:rsidRPr="00832A8E">
        <w:rPr>
          <w:rFonts w:ascii="Times New Roman" w:hAnsi="Times New Roman" w:cs="Times New Roman"/>
          <w:sz w:val="24"/>
          <w:szCs w:val="24"/>
          <w:lang w:val="en-US"/>
        </w:rPr>
        <w:t>one</w:t>
      </w:r>
      <w:r w:rsidR="00832A8E">
        <w:rPr>
          <w:rFonts w:ascii="Times New Roman" w:hAnsi="Times New Roman" w:cs="Times New Roman"/>
          <w:sz w:val="24"/>
          <w:szCs w:val="24"/>
          <w:lang w:val="en-US"/>
        </w:rPr>
        <w:t xml:space="preserve"> of the most powerful transmitters of culture in the western</w:t>
      </w:r>
      <w:r w:rsidR="00204771">
        <w:rPr>
          <w:rFonts w:ascii="Times New Roman" w:hAnsi="Times New Roman" w:cs="Times New Roman"/>
          <w:sz w:val="24"/>
          <w:szCs w:val="24"/>
          <w:lang w:val="en-US"/>
        </w:rPr>
        <w:t xml:space="preserve"> legal</w:t>
      </w:r>
      <w:r w:rsidR="00832A8E">
        <w:rPr>
          <w:rFonts w:ascii="Times New Roman" w:hAnsi="Times New Roman" w:cs="Times New Roman"/>
          <w:sz w:val="24"/>
          <w:szCs w:val="24"/>
          <w:lang w:val="en-US"/>
        </w:rPr>
        <w:t xml:space="preserve"> tradition.</w:t>
      </w:r>
      <w:r w:rsidR="00FD7E68">
        <w:rPr>
          <w:rFonts w:ascii="Times New Roman" w:hAnsi="Times New Roman" w:cs="Times New Roman"/>
          <w:sz w:val="24"/>
          <w:szCs w:val="24"/>
          <w:lang w:val="en-US"/>
        </w:rPr>
        <w:t xml:space="preserve"> </w:t>
      </w:r>
      <w:r w:rsidR="00204771">
        <w:rPr>
          <w:rFonts w:ascii="Times New Roman" w:hAnsi="Times New Roman" w:cs="Times New Roman"/>
          <w:sz w:val="24"/>
          <w:szCs w:val="24"/>
          <w:lang w:val="en-US"/>
        </w:rPr>
        <w:t xml:space="preserve">It is the </w:t>
      </w:r>
      <w:r w:rsidR="00204771" w:rsidRPr="00204771">
        <w:rPr>
          <w:rFonts w:ascii="Times New Roman" w:hAnsi="Times New Roman" w:cs="Times New Roman"/>
          <w:i/>
          <w:sz w:val="24"/>
          <w:szCs w:val="24"/>
          <w:lang w:val="en-US"/>
        </w:rPr>
        <w:t>Champs Elysees</w:t>
      </w:r>
      <w:r w:rsidR="00204771">
        <w:rPr>
          <w:rFonts w:ascii="Times New Roman" w:hAnsi="Times New Roman" w:cs="Times New Roman"/>
          <w:sz w:val="24"/>
          <w:szCs w:val="24"/>
          <w:lang w:val="en-US"/>
        </w:rPr>
        <w:t xml:space="preserve"> of enrichment for improvements. </w:t>
      </w:r>
      <w:r w:rsidR="00FD7E68">
        <w:rPr>
          <w:rFonts w:ascii="Times New Roman" w:hAnsi="Times New Roman" w:cs="Times New Roman"/>
          <w:sz w:val="24"/>
          <w:szCs w:val="24"/>
          <w:lang w:val="en-US"/>
        </w:rPr>
        <w:t xml:space="preserve">However, </w:t>
      </w:r>
      <w:r w:rsidR="00204771">
        <w:rPr>
          <w:rFonts w:ascii="Times New Roman" w:hAnsi="Times New Roman" w:cs="Times New Roman"/>
          <w:sz w:val="24"/>
          <w:szCs w:val="24"/>
          <w:lang w:val="en-US"/>
        </w:rPr>
        <w:t xml:space="preserve">as a cause of action </w:t>
      </w:r>
      <w:r w:rsidR="00FD7E68">
        <w:rPr>
          <w:rFonts w:ascii="Times New Roman" w:hAnsi="Times New Roman" w:cs="Times New Roman"/>
          <w:sz w:val="24"/>
          <w:szCs w:val="24"/>
          <w:lang w:val="en-US"/>
        </w:rPr>
        <w:t xml:space="preserve">it is in fact no more “typical” </w:t>
      </w:r>
      <w:r w:rsidR="000470BF">
        <w:rPr>
          <w:rFonts w:ascii="Times New Roman" w:hAnsi="Times New Roman" w:cs="Times New Roman"/>
          <w:sz w:val="24"/>
          <w:szCs w:val="24"/>
          <w:lang w:val="en-US"/>
        </w:rPr>
        <w:t xml:space="preserve">of </w:t>
      </w:r>
      <w:r w:rsidR="00204771">
        <w:rPr>
          <w:rFonts w:ascii="Times New Roman" w:hAnsi="Times New Roman" w:cs="Times New Roman"/>
          <w:sz w:val="24"/>
          <w:szCs w:val="24"/>
          <w:lang w:val="en-US"/>
        </w:rPr>
        <w:t>“</w:t>
      </w:r>
      <w:r w:rsidR="00FD7E68">
        <w:rPr>
          <w:rFonts w:ascii="Times New Roman" w:hAnsi="Times New Roman" w:cs="Times New Roman"/>
          <w:sz w:val="24"/>
          <w:szCs w:val="24"/>
          <w:lang w:val="en-US"/>
        </w:rPr>
        <w:t>improvements</w:t>
      </w:r>
      <w:r w:rsidR="00204771">
        <w:rPr>
          <w:rFonts w:ascii="Times New Roman" w:hAnsi="Times New Roman" w:cs="Times New Roman"/>
          <w:sz w:val="24"/>
          <w:szCs w:val="24"/>
          <w:lang w:val="en-US"/>
        </w:rPr>
        <w:t>”</w:t>
      </w:r>
      <w:r w:rsidR="00FD7E68">
        <w:rPr>
          <w:rFonts w:ascii="Times New Roman" w:hAnsi="Times New Roman" w:cs="Times New Roman"/>
          <w:sz w:val="24"/>
          <w:szCs w:val="24"/>
          <w:lang w:val="en-US"/>
        </w:rPr>
        <w:t xml:space="preserve"> than </w:t>
      </w:r>
      <w:r w:rsidR="00204771">
        <w:rPr>
          <w:rFonts w:ascii="Times New Roman" w:hAnsi="Times New Roman" w:cs="Times New Roman"/>
          <w:sz w:val="24"/>
          <w:szCs w:val="24"/>
          <w:lang w:val="en-US"/>
        </w:rPr>
        <w:t>a</w:t>
      </w:r>
      <w:r w:rsidR="00FD7E68">
        <w:rPr>
          <w:rFonts w:ascii="Times New Roman" w:hAnsi="Times New Roman" w:cs="Times New Roman"/>
          <w:sz w:val="24"/>
          <w:szCs w:val="24"/>
          <w:lang w:val="en-US"/>
        </w:rPr>
        <w:t xml:space="preserve"> </w:t>
      </w:r>
      <w:r w:rsidR="00FD7E68" w:rsidRPr="00FD7E68">
        <w:rPr>
          <w:rFonts w:ascii="Times New Roman" w:hAnsi="Times New Roman" w:cs="Times New Roman"/>
          <w:i/>
          <w:sz w:val="24"/>
          <w:szCs w:val="24"/>
          <w:lang w:val="en-US"/>
        </w:rPr>
        <w:t xml:space="preserve">condictio </w:t>
      </w:r>
      <w:r w:rsidR="00204771" w:rsidRPr="00204771">
        <w:rPr>
          <w:rFonts w:ascii="Times New Roman" w:hAnsi="Times New Roman" w:cs="Times New Roman"/>
          <w:sz w:val="24"/>
          <w:szCs w:val="24"/>
          <w:lang w:val="en-US"/>
        </w:rPr>
        <w:t xml:space="preserve">cause of action </w:t>
      </w:r>
      <w:r w:rsidR="003A3A48">
        <w:rPr>
          <w:rFonts w:ascii="Times New Roman" w:hAnsi="Times New Roman" w:cs="Times New Roman"/>
          <w:sz w:val="24"/>
          <w:szCs w:val="24"/>
          <w:lang w:val="en-US"/>
        </w:rPr>
        <w:t xml:space="preserve">or </w:t>
      </w:r>
      <w:r w:rsidR="00204771" w:rsidRPr="00204771">
        <w:rPr>
          <w:rFonts w:ascii="Times New Roman" w:hAnsi="Times New Roman" w:cs="Times New Roman"/>
          <w:sz w:val="24"/>
          <w:szCs w:val="24"/>
          <w:lang w:val="en-US"/>
        </w:rPr>
        <w:t>claim</w:t>
      </w:r>
      <w:r w:rsidR="00204771">
        <w:rPr>
          <w:rFonts w:ascii="Times New Roman" w:hAnsi="Times New Roman" w:cs="Times New Roman"/>
          <w:sz w:val="24"/>
          <w:szCs w:val="24"/>
          <w:lang w:val="en-US"/>
        </w:rPr>
        <w:t xml:space="preserve">. However, here we come up </w:t>
      </w:r>
      <w:r w:rsidR="000A42CF">
        <w:rPr>
          <w:rFonts w:ascii="Times New Roman" w:hAnsi="Times New Roman" w:cs="Times New Roman"/>
          <w:sz w:val="24"/>
          <w:szCs w:val="24"/>
          <w:lang w:val="en-US"/>
        </w:rPr>
        <w:t xml:space="preserve">against </w:t>
      </w:r>
      <w:r w:rsidR="00204771">
        <w:rPr>
          <w:rFonts w:ascii="Times New Roman" w:hAnsi="Times New Roman" w:cs="Times New Roman"/>
          <w:sz w:val="24"/>
          <w:szCs w:val="24"/>
          <w:lang w:val="en-US"/>
        </w:rPr>
        <w:t>a potential major impediment</w:t>
      </w:r>
      <w:r w:rsidR="00C60481">
        <w:rPr>
          <w:rFonts w:ascii="Times New Roman" w:hAnsi="Times New Roman" w:cs="Times New Roman"/>
          <w:sz w:val="24"/>
          <w:szCs w:val="24"/>
          <w:lang w:val="en-US"/>
        </w:rPr>
        <w:t>. As noted by</w:t>
      </w:r>
      <w:r w:rsidR="00204771">
        <w:rPr>
          <w:rFonts w:ascii="Times New Roman" w:hAnsi="Times New Roman" w:cs="Times New Roman"/>
          <w:sz w:val="24"/>
          <w:szCs w:val="24"/>
          <w:lang w:val="en-US"/>
        </w:rPr>
        <w:t xml:space="preserve"> Lord Rodger </w:t>
      </w:r>
      <w:r w:rsidR="000470BF">
        <w:rPr>
          <w:rFonts w:ascii="Times New Roman" w:hAnsi="Times New Roman" w:cs="Times New Roman"/>
          <w:sz w:val="24"/>
          <w:szCs w:val="24"/>
          <w:lang w:val="en-US"/>
        </w:rPr>
        <w:t xml:space="preserve">in </w:t>
      </w:r>
      <w:r w:rsidR="000470BF" w:rsidRPr="000470BF">
        <w:rPr>
          <w:rFonts w:ascii="Times New Roman" w:hAnsi="Times New Roman" w:cs="Times New Roman"/>
          <w:i/>
          <w:sz w:val="24"/>
          <w:szCs w:val="24"/>
          <w:lang w:val="en-US"/>
        </w:rPr>
        <w:t>Shilliday</w:t>
      </w:r>
      <w:r w:rsidR="00C60481">
        <w:rPr>
          <w:rFonts w:ascii="Times New Roman" w:hAnsi="Times New Roman" w:cs="Times New Roman"/>
          <w:sz w:val="24"/>
          <w:szCs w:val="24"/>
          <w:lang w:val="en-US"/>
        </w:rPr>
        <w:t>,</w:t>
      </w:r>
      <w:r w:rsidR="000470BF">
        <w:rPr>
          <w:rFonts w:ascii="Times New Roman" w:hAnsi="Times New Roman" w:cs="Times New Roman"/>
          <w:sz w:val="24"/>
          <w:szCs w:val="24"/>
          <w:lang w:val="en-US"/>
        </w:rPr>
        <w:t xml:space="preserve"> </w:t>
      </w:r>
      <w:r w:rsidR="00204771">
        <w:rPr>
          <w:rFonts w:ascii="Times New Roman" w:hAnsi="Times New Roman" w:cs="Times New Roman"/>
          <w:sz w:val="24"/>
          <w:szCs w:val="24"/>
          <w:lang w:val="en-US"/>
        </w:rPr>
        <w:t xml:space="preserve">the </w:t>
      </w:r>
      <w:r w:rsidR="00204771" w:rsidRPr="001C733E">
        <w:rPr>
          <w:rFonts w:ascii="Times New Roman" w:hAnsi="Times New Roman" w:cs="Times New Roman"/>
          <w:i/>
          <w:sz w:val="24"/>
          <w:szCs w:val="24"/>
          <w:lang w:val="en-US"/>
        </w:rPr>
        <w:t>condictio</w:t>
      </w:r>
      <w:r w:rsidR="000470BF">
        <w:rPr>
          <w:rFonts w:ascii="Times New Roman" w:hAnsi="Times New Roman" w:cs="Times New Roman"/>
          <w:sz w:val="24"/>
          <w:szCs w:val="24"/>
          <w:lang w:val="en-US"/>
        </w:rPr>
        <w:t xml:space="preserve"> </w:t>
      </w:r>
      <w:r w:rsidR="00C60481">
        <w:rPr>
          <w:rFonts w:ascii="Times New Roman" w:hAnsi="Times New Roman" w:cs="Times New Roman"/>
          <w:sz w:val="24"/>
          <w:szCs w:val="24"/>
          <w:lang w:val="en-US"/>
        </w:rPr>
        <w:t>i</w:t>
      </w:r>
      <w:r w:rsidR="000470BF">
        <w:rPr>
          <w:rFonts w:ascii="Times New Roman" w:hAnsi="Times New Roman" w:cs="Times New Roman"/>
          <w:sz w:val="24"/>
          <w:szCs w:val="24"/>
          <w:lang w:val="en-US"/>
        </w:rPr>
        <w:t>s re</w:t>
      </w:r>
      <w:r w:rsidR="00204771">
        <w:rPr>
          <w:rFonts w:ascii="Times New Roman" w:hAnsi="Times New Roman" w:cs="Times New Roman"/>
          <w:sz w:val="24"/>
          <w:szCs w:val="24"/>
          <w:lang w:val="en-US"/>
        </w:rPr>
        <w:t>presen</w:t>
      </w:r>
      <w:r w:rsidR="001C733E">
        <w:rPr>
          <w:rFonts w:ascii="Times New Roman" w:hAnsi="Times New Roman" w:cs="Times New Roman"/>
          <w:sz w:val="24"/>
          <w:szCs w:val="24"/>
          <w:lang w:val="en-US"/>
        </w:rPr>
        <w:t xml:space="preserve">tative of a </w:t>
      </w:r>
      <w:r w:rsidR="00204771">
        <w:rPr>
          <w:rFonts w:ascii="Times New Roman" w:hAnsi="Times New Roman" w:cs="Times New Roman"/>
          <w:sz w:val="24"/>
          <w:szCs w:val="24"/>
          <w:lang w:val="en-US"/>
        </w:rPr>
        <w:t>group of causes</w:t>
      </w:r>
      <w:r w:rsidR="001C733E">
        <w:rPr>
          <w:rFonts w:ascii="Times New Roman" w:hAnsi="Times New Roman" w:cs="Times New Roman"/>
          <w:sz w:val="24"/>
          <w:szCs w:val="24"/>
          <w:lang w:val="en-US"/>
        </w:rPr>
        <w:t xml:space="preserve"> </w:t>
      </w:r>
      <w:r w:rsidR="00204771">
        <w:rPr>
          <w:rFonts w:ascii="Times New Roman" w:hAnsi="Times New Roman" w:cs="Times New Roman"/>
          <w:sz w:val="24"/>
          <w:szCs w:val="24"/>
          <w:lang w:val="en-US"/>
        </w:rPr>
        <w:t xml:space="preserve">of action and </w:t>
      </w:r>
      <w:r w:rsidR="00C60481">
        <w:rPr>
          <w:rFonts w:ascii="Times New Roman" w:hAnsi="Times New Roman" w:cs="Times New Roman"/>
          <w:sz w:val="24"/>
          <w:szCs w:val="24"/>
          <w:lang w:val="en-US"/>
        </w:rPr>
        <w:t xml:space="preserve">is </w:t>
      </w:r>
      <w:r w:rsidR="00204771" w:rsidRPr="00D726CC">
        <w:rPr>
          <w:rFonts w:ascii="Times New Roman" w:hAnsi="Times New Roman" w:cs="Times New Roman"/>
          <w:i/>
          <w:sz w:val="24"/>
          <w:szCs w:val="24"/>
          <w:lang w:val="en-US"/>
        </w:rPr>
        <w:t xml:space="preserve">not </w:t>
      </w:r>
      <w:r w:rsidR="00204771">
        <w:rPr>
          <w:rFonts w:ascii="Times New Roman" w:hAnsi="Times New Roman" w:cs="Times New Roman"/>
          <w:sz w:val="24"/>
          <w:szCs w:val="24"/>
          <w:lang w:val="en-US"/>
        </w:rPr>
        <w:t>a rem</w:t>
      </w:r>
      <w:r w:rsidR="000470BF">
        <w:rPr>
          <w:rFonts w:ascii="Times New Roman" w:hAnsi="Times New Roman" w:cs="Times New Roman"/>
          <w:sz w:val="24"/>
          <w:szCs w:val="24"/>
          <w:lang w:val="en-US"/>
        </w:rPr>
        <w:t>edy restricted</w:t>
      </w:r>
      <w:r w:rsidR="00547614">
        <w:rPr>
          <w:rFonts w:ascii="Times New Roman" w:hAnsi="Times New Roman" w:cs="Times New Roman"/>
          <w:sz w:val="24"/>
          <w:szCs w:val="24"/>
          <w:lang w:val="en-US"/>
        </w:rPr>
        <w:t xml:space="preserve"> </w:t>
      </w:r>
      <w:r w:rsidR="00256D19">
        <w:rPr>
          <w:rFonts w:ascii="Times New Roman" w:hAnsi="Times New Roman" w:cs="Times New Roman"/>
          <w:sz w:val="24"/>
          <w:szCs w:val="24"/>
          <w:lang w:val="en-US"/>
        </w:rPr>
        <w:t xml:space="preserve">to the recovery of a </w:t>
      </w:r>
      <w:r w:rsidR="00256D19" w:rsidRPr="00547614">
        <w:rPr>
          <w:rFonts w:ascii="Times New Roman" w:hAnsi="Times New Roman" w:cs="Times New Roman"/>
          <w:i/>
          <w:sz w:val="24"/>
          <w:szCs w:val="24"/>
          <w:lang w:val="en-US"/>
        </w:rPr>
        <w:t>cert</w:t>
      </w:r>
      <w:r w:rsidR="00547614" w:rsidRPr="00547614">
        <w:rPr>
          <w:rFonts w:ascii="Times New Roman" w:hAnsi="Times New Roman" w:cs="Times New Roman"/>
          <w:i/>
          <w:sz w:val="24"/>
          <w:szCs w:val="24"/>
          <w:lang w:val="en-US"/>
        </w:rPr>
        <w:t>um</w:t>
      </w:r>
      <w:r w:rsidR="00547614">
        <w:rPr>
          <w:rFonts w:ascii="Times New Roman" w:hAnsi="Times New Roman" w:cs="Times New Roman"/>
          <w:sz w:val="24"/>
          <w:szCs w:val="24"/>
          <w:lang w:val="en-US"/>
        </w:rPr>
        <w:t>.</w:t>
      </w:r>
      <w:r w:rsidR="003A3A48">
        <w:rPr>
          <w:rFonts w:ascii="Times New Roman" w:hAnsi="Times New Roman" w:cs="Times New Roman"/>
          <w:sz w:val="24"/>
          <w:szCs w:val="24"/>
          <w:lang w:val="en-US"/>
        </w:rPr>
        <w:t xml:space="preserve"> </w:t>
      </w:r>
      <w:r w:rsidR="00547614">
        <w:rPr>
          <w:rFonts w:ascii="Times New Roman" w:hAnsi="Times New Roman" w:cs="Times New Roman"/>
          <w:sz w:val="24"/>
          <w:szCs w:val="24"/>
          <w:lang w:val="en-US"/>
        </w:rPr>
        <w:t>A</w:t>
      </w:r>
      <w:r w:rsidR="00943977">
        <w:rPr>
          <w:rFonts w:ascii="Times New Roman" w:hAnsi="Times New Roman" w:cs="Times New Roman"/>
          <w:sz w:val="24"/>
          <w:szCs w:val="24"/>
          <w:lang w:val="en-US"/>
        </w:rPr>
        <w:t xml:space="preserve"> legal system </w:t>
      </w:r>
      <w:r w:rsidR="003A3A48">
        <w:rPr>
          <w:rFonts w:ascii="Times New Roman" w:hAnsi="Times New Roman" w:cs="Times New Roman"/>
          <w:sz w:val="24"/>
          <w:szCs w:val="24"/>
          <w:lang w:val="en-US"/>
        </w:rPr>
        <w:t xml:space="preserve">still </w:t>
      </w:r>
      <w:r w:rsidR="00943977">
        <w:rPr>
          <w:rFonts w:ascii="Times New Roman" w:hAnsi="Times New Roman" w:cs="Times New Roman"/>
          <w:sz w:val="24"/>
          <w:szCs w:val="24"/>
          <w:lang w:val="en-US"/>
        </w:rPr>
        <w:t xml:space="preserve">tied to </w:t>
      </w:r>
      <w:r w:rsidR="00D241F4">
        <w:rPr>
          <w:rFonts w:ascii="Times New Roman" w:hAnsi="Times New Roman" w:cs="Times New Roman"/>
          <w:sz w:val="24"/>
          <w:szCs w:val="24"/>
          <w:lang w:val="en-US"/>
        </w:rPr>
        <w:t xml:space="preserve">such an </w:t>
      </w:r>
      <w:r w:rsidR="00943977">
        <w:rPr>
          <w:rFonts w:ascii="Times New Roman" w:hAnsi="Times New Roman" w:cs="Times New Roman"/>
          <w:sz w:val="24"/>
          <w:szCs w:val="24"/>
          <w:lang w:val="en-US"/>
        </w:rPr>
        <w:t xml:space="preserve">idea of the </w:t>
      </w:r>
      <w:r w:rsidR="00943977" w:rsidRPr="00943977">
        <w:rPr>
          <w:rFonts w:ascii="Times New Roman" w:hAnsi="Times New Roman" w:cs="Times New Roman"/>
          <w:i/>
          <w:sz w:val="24"/>
          <w:szCs w:val="24"/>
          <w:lang w:val="en-US"/>
        </w:rPr>
        <w:t>condictio</w:t>
      </w:r>
      <w:r w:rsidR="004C4E09">
        <w:rPr>
          <w:rFonts w:ascii="Times New Roman" w:hAnsi="Times New Roman" w:cs="Times New Roman"/>
          <w:sz w:val="24"/>
          <w:szCs w:val="24"/>
          <w:lang w:val="en-US"/>
        </w:rPr>
        <w:t xml:space="preserve">, notwithstanding that the causative facts are identical, </w:t>
      </w:r>
      <w:r w:rsidR="00943977" w:rsidRPr="00943977">
        <w:rPr>
          <w:rFonts w:ascii="Times New Roman" w:hAnsi="Times New Roman" w:cs="Times New Roman"/>
          <w:sz w:val="24"/>
          <w:szCs w:val="24"/>
          <w:lang w:val="en-US"/>
        </w:rPr>
        <w:t xml:space="preserve">needs to </w:t>
      </w:r>
      <w:r w:rsidR="004C4E09">
        <w:rPr>
          <w:rFonts w:ascii="Times New Roman" w:hAnsi="Times New Roman" w:cs="Times New Roman"/>
          <w:sz w:val="24"/>
          <w:szCs w:val="24"/>
          <w:lang w:val="en-US"/>
        </w:rPr>
        <w:t xml:space="preserve">identify </w:t>
      </w:r>
      <w:r w:rsidR="00943977" w:rsidRPr="00943977">
        <w:rPr>
          <w:rFonts w:ascii="Times New Roman" w:hAnsi="Times New Roman" w:cs="Times New Roman"/>
          <w:sz w:val="24"/>
          <w:szCs w:val="24"/>
          <w:lang w:val="en-US"/>
        </w:rPr>
        <w:t>some other</w:t>
      </w:r>
      <w:r w:rsidR="00943977">
        <w:rPr>
          <w:rFonts w:ascii="Times New Roman" w:hAnsi="Times New Roman" w:cs="Times New Roman"/>
          <w:i/>
          <w:sz w:val="24"/>
          <w:szCs w:val="24"/>
          <w:lang w:val="en-US"/>
        </w:rPr>
        <w:t xml:space="preserve"> </w:t>
      </w:r>
      <w:r w:rsidR="00943977" w:rsidRPr="00943977">
        <w:rPr>
          <w:rFonts w:ascii="Times New Roman" w:hAnsi="Times New Roman" w:cs="Times New Roman"/>
          <w:sz w:val="24"/>
          <w:szCs w:val="24"/>
          <w:lang w:val="en-US"/>
        </w:rPr>
        <w:t>remedy or cause of action to enable the recovery of the costs of improv</w:t>
      </w:r>
      <w:r w:rsidR="00943977">
        <w:rPr>
          <w:rFonts w:ascii="Times New Roman" w:hAnsi="Times New Roman" w:cs="Times New Roman"/>
          <w:sz w:val="24"/>
          <w:szCs w:val="24"/>
          <w:lang w:val="en-US"/>
        </w:rPr>
        <w:t>e</w:t>
      </w:r>
      <w:r w:rsidR="00943977" w:rsidRPr="00943977">
        <w:rPr>
          <w:rFonts w:ascii="Times New Roman" w:hAnsi="Times New Roman" w:cs="Times New Roman"/>
          <w:sz w:val="24"/>
          <w:szCs w:val="24"/>
          <w:lang w:val="en-US"/>
        </w:rPr>
        <w:t xml:space="preserve">ments </w:t>
      </w:r>
      <w:r w:rsidR="0091374C">
        <w:rPr>
          <w:rFonts w:ascii="Times New Roman" w:hAnsi="Times New Roman" w:cs="Times New Roman"/>
          <w:sz w:val="24"/>
          <w:szCs w:val="24"/>
          <w:lang w:val="en-US"/>
        </w:rPr>
        <w:t xml:space="preserve">because </w:t>
      </w:r>
      <w:r w:rsidR="00560AC1">
        <w:rPr>
          <w:rFonts w:ascii="Times New Roman" w:hAnsi="Times New Roman" w:cs="Times New Roman"/>
          <w:sz w:val="24"/>
          <w:szCs w:val="24"/>
          <w:lang w:val="en-US"/>
        </w:rPr>
        <w:t xml:space="preserve">they </w:t>
      </w:r>
      <w:r w:rsidR="00943977">
        <w:rPr>
          <w:rFonts w:ascii="Times New Roman" w:hAnsi="Times New Roman" w:cs="Times New Roman"/>
          <w:sz w:val="24"/>
          <w:szCs w:val="24"/>
          <w:lang w:val="en-US"/>
        </w:rPr>
        <w:t xml:space="preserve">are </w:t>
      </w:r>
      <w:r w:rsidR="000A42CF">
        <w:rPr>
          <w:rFonts w:ascii="Times New Roman" w:hAnsi="Times New Roman" w:cs="Times New Roman"/>
          <w:sz w:val="24"/>
          <w:szCs w:val="24"/>
          <w:lang w:val="en-US"/>
        </w:rPr>
        <w:t xml:space="preserve">an </w:t>
      </w:r>
      <w:r w:rsidR="000A42CF" w:rsidRPr="000A42CF">
        <w:rPr>
          <w:rFonts w:ascii="Times New Roman" w:hAnsi="Times New Roman" w:cs="Times New Roman"/>
          <w:i/>
          <w:sz w:val="24"/>
          <w:szCs w:val="24"/>
          <w:lang w:val="en-US"/>
        </w:rPr>
        <w:t>incertum</w:t>
      </w:r>
      <w:r w:rsidR="00547614">
        <w:rPr>
          <w:rFonts w:ascii="Times New Roman" w:hAnsi="Times New Roman" w:cs="Times New Roman"/>
          <w:sz w:val="24"/>
          <w:szCs w:val="24"/>
          <w:lang w:val="en-US"/>
        </w:rPr>
        <w:t xml:space="preserve">. A result is that </w:t>
      </w:r>
      <w:r w:rsidR="000A42CF">
        <w:rPr>
          <w:rFonts w:ascii="Times New Roman" w:hAnsi="Times New Roman" w:cs="Times New Roman"/>
          <w:sz w:val="24"/>
          <w:szCs w:val="24"/>
          <w:lang w:val="en-US"/>
        </w:rPr>
        <w:t xml:space="preserve">identical facts </w:t>
      </w:r>
      <w:r w:rsidR="00560AC1">
        <w:rPr>
          <w:rFonts w:ascii="Times New Roman" w:hAnsi="Times New Roman" w:cs="Times New Roman"/>
          <w:sz w:val="24"/>
          <w:szCs w:val="24"/>
          <w:lang w:val="en-US"/>
        </w:rPr>
        <w:t xml:space="preserve">give rise to </w:t>
      </w:r>
      <w:r w:rsidR="00A8648A">
        <w:rPr>
          <w:rFonts w:ascii="Times New Roman" w:hAnsi="Times New Roman" w:cs="Times New Roman"/>
          <w:sz w:val="24"/>
          <w:szCs w:val="24"/>
          <w:lang w:val="en-US"/>
        </w:rPr>
        <w:t xml:space="preserve">a </w:t>
      </w:r>
      <w:r w:rsidR="00560AC1">
        <w:rPr>
          <w:rFonts w:ascii="Times New Roman" w:hAnsi="Times New Roman" w:cs="Times New Roman"/>
          <w:sz w:val="24"/>
          <w:szCs w:val="24"/>
          <w:lang w:val="en-US"/>
        </w:rPr>
        <w:t xml:space="preserve">different </w:t>
      </w:r>
      <w:r w:rsidR="00A8648A">
        <w:rPr>
          <w:rFonts w:ascii="Times New Roman" w:hAnsi="Times New Roman" w:cs="Times New Roman"/>
          <w:sz w:val="24"/>
          <w:szCs w:val="24"/>
          <w:lang w:val="en-US"/>
        </w:rPr>
        <w:t xml:space="preserve">causative framework depending on whether </w:t>
      </w:r>
      <w:r w:rsidR="00560AC1">
        <w:rPr>
          <w:rFonts w:ascii="Times New Roman" w:hAnsi="Times New Roman" w:cs="Times New Roman"/>
          <w:sz w:val="24"/>
          <w:szCs w:val="24"/>
          <w:lang w:val="en-US"/>
        </w:rPr>
        <w:t xml:space="preserve">the benefit is certain or uncertain. </w:t>
      </w:r>
      <w:r w:rsidR="00832BAA">
        <w:rPr>
          <w:rFonts w:ascii="Times New Roman" w:hAnsi="Times New Roman" w:cs="Times New Roman"/>
          <w:sz w:val="24"/>
          <w:szCs w:val="24"/>
          <w:lang w:val="en-US"/>
        </w:rPr>
        <w:t xml:space="preserve">For example, a payment under a void contract is recoverable on the basis of a </w:t>
      </w:r>
      <w:r w:rsidR="00832BAA" w:rsidRPr="00832BAA">
        <w:rPr>
          <w:rFonts w:ascii="Times New Roman" w:hAnsi="Times New Roman" w:cs="Times New Roman"/>
          <w:i/>
          <w:sz w:val="24"/>
          <w:szCs w:val="24"/>
          <w:lang w:val="en-US"/>
        </w:rPr>
        <w:t>condictio</w:t>
      </w:r>
      <w:r w:rsidR="00832BAA">
        <w:rPr>
          <w:rFonts w:ascii="Times New Roman" w:hAnsi="Times New Roman" w:cs="Times New Roman"/>
          <w:sz w:val="24"/>
          <w:szCs w:val="24"/>
          <w:lang w:val="en-US"/>
        </w:rPr>
        <w:t xml:space="preserve"> but the value of a service in building a house under an identically void contract cannot be a </w:t>
      </w:r>
      <w:r w:rsidR="00832BAA" w:rsidRPr="00832BAA">
        <w:rPr>
          <w:rFonts w:ascii="Times New Roman" w:hAnsi="Times New Roman" w:cs="Times New Roman"/>
          <w:i/>
          <w:sz w:val="24"/>
          <w:szCs w:val="24"/>
          <w:lang w:val="en-US"/>
        </w:rPr>
        <w:t>condictio</w:t>
      </w:r>
      <w:r w:rsidR="00832BAA">
        <w:rPr>
          <w:rFonts w:ascii="Times New Roman" w:hAnsi="Times New Roman" w:cs="Times New Roman"/>
          <w:sz w:val="24"/>
          <w:szCs w:val="24"/>
          <w:lang w:val="en-US"/>
        </w:rPr>
        <w:t xml:space="preserve"> because the benefit is an </w:t>
      </w:r>
      <w:r w:rsidR="00832BAA" w:rsidRPr="00832BAA">
        <w:rPr>
          <w:rFonts w:ascii="Times New Roman" w:hAnsi="Times New Roman" w:cs="Times New Roman"/>
          <w:i/>
          <w:sz w:val="24"/>
          <w:szCs w:val="24"/>
          <w:lang w:val="en-US"/>
        </w:rPr>
        <w:t>incertum</w:t>
      </w:r>
      <w:r w:rsidR="00832BAA">
        <w:rPr>
          <w:rFonts w:ascii="Times New Roman" w:hAnsi="Times New Roman" w:cs="Times New Roman"/>
          <w:sz w:val="24"/>
          <w:szCs w:val="24"/>
          <w:lang w:val="en-US"/>
        </w:rPr>
        <w:t xml:space="preserve">. </w:t>
      </w:r>
      <w:r w:rsidR="00560AC1">
        <w:rPr>
          <w:rFonts w:ascii="Times New Roman" w:hAnsi="Times New Roman" w:cs="Times New Roman"/>
          <w:sz w:val="24"/>
          <w:szCs w:val="24"/>
          <w:lang w:val="en-US"/>
        </w:rPr>
        <w:t>In a properly conceived law of unjustified enrichment that is “event” (cause of action</w:t>
      </w:r>
      <w:r w:rsidR="00832BAA">
        <w:rPr>
          <w:rFonts w:ascii="Times New Roman" w:hAnsi="Times New Roman" w:cs="Times New Roman"/>
          <w:sz w:val="24"/>
          <w:szCs w:val="24"/>
          <w:lang w:val="en-US"/>
        </w:rPr>
        <w:t xml:space="preserve">; </w:t>
      </w:r>
      <w:r w:rsidR="00832BAA" w:rsidRPr="00832BAA">
        <w:rPr>
          <w:rFonts w:ascii="Times New Roman" w:hAnsi="Times New Roman" w:cs="Times New Roman"/>
          <w:i/>
          <w:sz w:val="24"/>
          <w:szCs w:val="24"/>
          <w:lang w:val="en-US"/>
        </w:rPr>
        <w:t>e.g</w:t>
      </w:r>
      <w:r w:rsidR="00832BAA">
        <w:rPr>
          <w:rFonts w:ascii="Times New Roman" w:hAnsi="Times New Roman" w:cs="Times New Roman"/>
          <w:sz w:val="24"/>
          <w:szCs w:val="24"/>
          <w:lang w:val="en-US"/>
        </w:rPr>
        <w:t>. void contract</w:t>
      </w:r>
      <w:r w:rsidR="00560AC1">
        <w:rPr>
          <w:rFonts w:ascii="Times New Roman" w:hAnsi="Times New Roman" w:cs="Times New Roman"/>
          <w:sz w:val="24"/>
          <w:szCs w:val="24"/>
          <w:lang w:val="en-US"/>
        </w:rPr>
        <w:t>) based, this makes little sense</w:t>
      </w:r>
      <w:r w:rsidR="0091374C">
        <w:rPr>
          <w:rFonts w:ascii="Times New Roman" w:hAnsi="Times New Roman" w:cs="Times New Roman"/>
          <w:sz w:val="24"/>
          <w:szCs w:val="24"/>
          <w:lang w:val="en-US"/>
        </w:rPr>
        <w:t>.</w:t>
      </w:r>
      <w:r w:rsidR="00560AC1">
        <w:rPr>
          <w:rFonts w:ascii="Times New Roman" w:hAnsi="Times New Roman" w:cs="Times New Roman"/>
          <w:sz w:val="24"/>
          <w:szCs w:val="24"/>
          <w:lang w:val="en-US"/>
        </w:rPr>
        <w:t xml:space="preserve"> </w:t>
      </w:r>
      <w:r w:rsidR="0091374C">
        <w:rPr>
          <w:rFonts w:ascii="Times New Roman" w:hAnsi="Times New Roman" w:cs="Times New Roman"/>
          <w:sz w:val="24"/>
          <w:szCs w:val="24"/>
          <w:lang w:val="en-US"/>
        </w:rPr>
        <w:t>W</w:t>
      </w:r>
      <w:r w:rsidR="00560AC1">
        <w:rPr>
          <w:rFonts w:ascii="Times New Roman" w:hAnsi="Times New Roman" w:cs="Times New Roman"/>
          <w:sz w:val="24"/>
          <w:szCs w:val="24"/>
          <w:lang w:val="en-US"/>
        </w:rPr>
        <w:t xml:space="preserve">hat should be identical cases are </w:t>
      </w:r>
      <w:r w:rsidR="0091374C">
        <w:rPr>
          <w:rFonts w:ascii="Times New Roman" w:hAnsi="Times New Roman" w:cs="Times New Roman"/>
          <w:sz w:val="24"/>
          <w:szCs w:val="24"/>
          <w:lang w:val="en-US"/>
        </w:rPr>
        <w:t>forced into different lives and</w:t>
      </w:r>
      <w:r w:rsidR="00832BAA">
        <w:rPr>
          <w:rFonts w:ascii="Times New Roman" w:hAnsi="Times New Roman" w:cs="Times New Roman"/>
          <w:sz w:val="24"/>
          <w:szCs w:val="24"/>
          <w:lang w:val="en-US"/>
        </w:rPr>
        <w:t>, as we will see,</w:t>
      </w:r>
      <w:r w:rsidR="00560AC1">
        <w:rPr>
          <w:rFonts w:ascii="Times New Roman" w:hAnsi="Times New Roman" w:cs="Times New Roman"/>
          <w:sz w:val="24"/>
          <w:szCs w:val="24"/>
          <w:lang w:val="en-US"/>
        </w:rPr>
        <w:t xml:space="preserve"> different cases </w:t>
      </w:r>
      <w:r w:rsidR="004C4E09">
        <w:rPr>
          <w:rFonts w:ascii="Times New Roman" w:hAnsi="Times New Roman" w:cs="Times New Roman"/>
          <w:sz w:val="24"/>
          <w:szCs w:val="24"/>
          <w:lang w:val="en-US"/>
        </w:rPr>
        <w:t>(</w:t>
      </w:r>
      <w:r w:rsidR="004C4E09" w:rsidRPr="004C4E09">
        <w:rPr>
          <w:rFonts w:ascii="Times New Roman" w:hAnsi="Times New Roman" w:cs="Times New Roman"/>
          <w:i/>
          <w:sz w:val="24"/>
          <w:szCs w:val="24"/>
          <w:lang w:val="en-US"/>
        </w:rPr>
        <w:t>condictio</w:t>
      </w:r>
      <w:r w:rsidR="004C4E09">
        <w:rPr>
          <w:rFonts w:ascii="Times New Roman" w:hAnsi="Times New Roman" w:cs="Times New Roman"/>
          <w:sz w:val="24"/>
          <w:szCs w:val="24"/>
          <w:lang w:val="en-US"/>
        </w:rPr>
        <w:t xml:space="preserve">/good faith possessor/occupier) </w:t>
      </w:r>
      <w:r w:rsidR="00560AC1">
        <w:rPr>
          <w:rFonts w:ascii="Times New Roman" w:hAnsi="Times New Roman" w:cs="Times New Roman"/>
          <w:sz w:val="24"/>
          <w:szCs w:val="24"/>
          <w:lang w:val="en-US"/>
        </w:rPr>
        <w:t xml:space="preserve">are </w:t>
      </w:r>
      <w:r w:rsidR="000A42CF">
        <w:rPr>
          <w:rFonts w:ascii="Times New Roman" w:hAnsi="Times New Roman" w:cs="Times New Roman"/>
          <w:sz w:val="24"/>
          <w:szCs w:val="24"/>
          <w:lang w:val="en-US"/>
        </w:rPr>
        <w:t xml:space="preserve">conceived as having </w:t>
      </w:r>
      <w:r w:rsidR="00560AC1">
        <w:rPr>
          <w:rFonts w:ascii="Times New Roman" w:hAnsi="Times New Roman" w:cs="Times New Roman"/>
          <w:sz w:val="24"/>
          <w:szCs w:val="24"/>
          <w:lang w:val="en-US"/>
        </w:rPr>
        <w:t xml:space="preserve">identical lives. </w:t>
      </w:r>
      <w:r w:rsidR="00D241F4">
        <w:rPr>
          <w:rFonts w:ascii="Times New Roman" w:hAnsi="Times New Roman" w:cs="Times New Roman"/>
          <w:sz w:val="24"/>
          <w:szCs w:val="24"/>
          <w:lang w:val="en-US"/>
        </w:rPr>
        <w:t>And i</w:t>
      </w:r>
      <w:r w:rsidR="00832BAA">
        <w:rPr>
          <w:rFonts w:ascii="Times New Roman" w:hAnsi="Times New Roman" w:cs="Times New Roman"/>
          <w:sz w:val="24"/>
          <w:szCs w:val="24"/>
          <w:lang w:val="en-US"/>
        </w:rPr>
        <w:t xml:space="preserve">t all </w:t>
      </w:r>
      <w:r w:rsidR="0091374C">
        <w:rPr>
          <w:rFonts w:ascii="Times New Roman" w:hAnsi="Times New Roman" w:cs="Times New Roman"/>
          <w:sz w:val="24"/>
          <w:szCs w:val="24"/>
          <w:lang w:val="en-US"/>
        </w:rPr>
        <w:t xml:space="preserve">impacts </w:t>
      </w:r>
      <w:r w:rsidR="00693958">
        <w:rPr>
          <w:rFonts w:ascii="Times New Roman" w:hAnsi="Times New Roman" w:cs="Times New Roman"/>
          <w:sz w:val="24"/>
          <w:szCs w:val="24"/>
          <w:lang w:val="en-US"/>
        </w:rPr>
        <w:t>up</w:t>
      </w:r>
      <w:r w:rsidR="0091374C">
        <w:rPr>
          <w:rFonts w:ascii="Times New Roman" w:hAnsi="Times New Roman" w:cs="Times New Roman"/>
          <w:sz w:val="24"/>
          <w:szCs w:val="24"/>
          <w:lang w:val="en-US"/>
        </w:rPr>
        <w:t>on outcomes.</w:t>
      </w:r>
    </w:p>
    <w:p w14:paraId="6E0E5096" w14:textId="77777777" w:rsidR="00081E22" w:rsidRPr="00A8648A" w:rsidRDefault="00081E22" w:rsidP="00DB67B4">
      <w:pPr>
        <w:spacing w:after="0" w:line="360" w:lineRule="auto"/>
        <w:jc w:val="both"/>
        <w:rPr>
          <w:rFonts w:ascii="Times New Roman" w:hAnsi="Times New Roman" w:cs="Times New Roman"/>
          <w:i/>
          <w:iCs/>
          <w:sz w:val="24"/>
          <w:szCs w:val="24"/>
        </w:rPr>
      </w:pPr>
      <w:r w:rsidRPr="00A8648A">
        <w:rPr>
          <w:rFonts w:ascii="Times New Roman" w:hAnsi="Times New Roman" w:cs="Times New Roman"/>
          <w:i/>
          <w:iCs/>
          <w:sz w:val="24"/>
          <w:szCs w:val="24"/>
        </w:rPr>
        <w:t>South Africa</w:t>
      </w:r>
      <w:r w:rsidR="00A8648A">
        <w:rPr>
          <w:rFonts w:ascii="Times New Roman" w:hAnsi="Times New Roman" w:cs="Times New Roman"/>
          <w:i/>
          <w:iCs/>
          <w:sz w:val="24"/>
          <w:szCs w:val="24"/>
        </w:rPr>
        <w:t xml:space="preserve">n Law on Improvements </w:t>
      </w:r>
    </w:p>
    <w:p w14:paraId="36367F62" w14:textId="2E06076D" w:rsidR="00081E22" w:rsidRDefault="00060812" w:rsidP="00DB67B4">
      <w:pPr>
        <w:spacing w:after="0"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(1) </w:t>
      </w:r>
      <w:r w:rsidR="00081E22" w:rsidRPr="00081E22">
        <w:rPr>
          <w:rFonts w:ascii="Times New Roman" w:hAnsi="Times New Roman" w:cs="Times New Roman"/>
          <w:i/>
          <w:iCs/>
          <w:sz w:val="24"/>
          <w:szCs w:val="24"/>
        </w:rPr>
        <w:t>Background</w:t>
      </w:r>
    </w:p>
    <w:p w14:paraId="63C193DD" w14:textId="1AA47303" w:rsidR="00693958" w:rsidRDefault="00693958" w:rsidP="00365A22">
      <w:pPr>
        <w:spacing w:after="0"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Rubin v. Both</w:t>
      </w:r>
      <w:r w:rsidRPr="00693958">
        <w:rPr>
          <w:rStyle w:val="FootnoteReference"/>
          <w:rFonts w:ascii="Times New Roman" w:hAnsi="Times New Roman" w:cs="Times New Roman"/>
          <w:bCs/>
          <w:iCs/>
          <w:sz w:val="24"/>
          <w:szCs w:val="24"/>
        </w:rPr>
        <w:footnoteReference w:id="30"/>
      </w:r>
    </w:p>
    <w:p w14:paraId="14526725" w14:textId="08BFEC86" w:rsidR="00B92025" w:rsidRDefault="00365A22" w:rsidP="00365A22">
      <w:pPr>
        <w:spacing w:after="0" w:line="360" w:lineRule="auto"/>
        <w:jc w:val="both"/>
        <w:rPr>
          <w:rFonts w:ascii="Times New Roman" w:hAnsi="Times New Roman" w:cs="Times New Roman"/>
          <w:iCs/>
          <w:sz w:val="24"/>
          <w:szCs w:val="24"/>
        </w:rPr>
      </w:pPr>
      <w:r w:rsidRPr="00365A22">
        <w:rPr>
          <w:rFonts w:ascii="Times New Roman" w:hAnsi="Times New Roman" w:cs="Times New Roman"/>
          <w:iCs/>
          <w:sz w:val="24"/>
          <w:szCs w:val="24"/>
        </w:rPr>
        <w:t>P and D</w:t>
      </w:r>
      <w:r w:rsidR="007F4611">
        <w:rPr>
          <w:rFonts w:ascii="Times New Roman" w:hAnsi="Times New Roman" w:cs="Times New Roman"/>
          <w:iCs/>
          <w:sz w:val="24"/>
          <w:szCs w:val="24"/>
        </w:rPr>
        <w:t xml:space="preserve"> </w:t>
      </w:r>
      <w:r w:rsidRPr="00365A22">
        <w:rPr>
          <w:rFonts w:ascii="Times New Roman" w:hAnsi="Times New Roman" w:cs="Times New Roman"/>
          <w:iCs/>
          <w:sz w:val="24"/>
          <w:szCs w:val="24"/>
        </w:rPr>
        <w:t xml:space="preserve">agreed a lease that P was to use land for 10 years for no monetary rental and that P was to erect buildings upon the land which at the end of the lease period were to become D’s. The lease was found to be null and void and P was ejected from the land </w:t>
      </w:r>
      <w:r w:rsidR="007F4611" w:rsidRPr="007F4611">
        <w:rPr>
          <w:rFonts w:ascii="Times New Roman" w:hAnsi="Times New Roman" w:cs="Times New Roman"/>
          <w:iCs/>
          <w:sz w:val="24"/>
          <w:szCs w:val="24"/>
        </w:rPr>
        <w:t xml:space="preserve">by D </w:t>
      </w:r>
      <w:r w:rsidRPr="00365A22">
        <w:rPr>
          <w:rFonts w:ascii="Times New Roman" w:hAnsi="Times New Roman" w:cs="Times New Roman"/>
          <w:iCs/>
          <w:sz w:val="24"/>
          <w:szCs w:val="24"/>
        </w:rPr>
        <w:t xml:space="preserve">after 3 years usage. </w:t>
      </w:r>
      <w:r w:rsidR="009A6DD2">
        <w:rPr>
          <w:rFonts w:ascii="Times New Roman" w:hAnsi="Times New Roman" w:cs="Times New Roman"/>
          <w:iCs/>
          <w:sz w:val="24"/>
          <w:szCs w:val="24"/>
        </w:rPr>
        <w:t>De Villi</w:t>
      </w:r>
      <w:r w:rsidR="007472DD">
        <w:rPr>
          <w:rFonts w:ascii="Times New Roman" w:hAnsi="Times New Roman" w:cs="Times New Roman"/>
          <w:iCs/>
          <w:sz w:val="24"/>
          <w:szCs w:val="24"/>
        </w:rPr>
        <w:t xml:space="preserve">ers </w:t>
      </w:r>
      <w:r w:rsidR="004E72E8">
        <w:rPr>
          <w:rFonts w:ascii="Times New Roman" w:hAnsi="Times New Roman" w:cs="Times New Roman"/>
          <w:iCs/>
          <w:sz w:val="24"/>
          <w:szCs w:val="24"/>
        </w:rPr>
        <w:t>CJ observed that</w:t>
      </w:r>
      <w:r w:rsidR="007472DD">
        <w:rPr>
          <w:rFonts w:ascii="Times New Roman" w:hAnsi="Times New Roman" w:cs="Times New Roman"/>
          <w:iCs/>
          <w:sz w:val="24"/>
          <w:szCs w:val="24"/>
        </w:rPr>
        <w:t>:</w:t>
      </w:r>
      <w:r w:rsidR="004E72E8">
        <w:rPr>
          <w:rStyle w:val="FootnoteReference"/>
          <w:rFonts w:ascii="Times New Roman" w:hAnsi="Times New Roman" w:cs="Times New Roman"/>
          <w:iCs/>
          <w:sz w:val="24"/>
          <w:szCs w:val="24"/>
        </w:rPr>
        <w:footnoteReference w:id="31"/>
      </w:r>
      <w:r w:rsidR="007472DD">
        <w:rPr>
          <w:rFonts w:ascii="Times New Roman" w:hAnsi="Times New Roman" w:cs="Times New Roman"/>
          <w:iCs/>
          <w:sz w:val="24"/>
          <w:szCs w:val="24"/>
        </w:rPr>
        <w:t xml:space="preserve"> “D took advantage of t</w:t>
      </w:r>
      <w:r w:rsidR="009A6DD2">
        <w:rPr>
          <w:rFonts w:ascii="Times New Roman" w:hAnsi="Times New Roman" w:cs="Times New Roman"/>
          <w:iCs/>
          <w:sz w:val="24"/>
          <w:szCs w:val="24"/>
        </w:rPr>
        <w:t xml:space="preserve">he law”. </w:t>
      </w:r>
      <w:r w:rsidRPr="00365A22">
        <w:rPr>
          <w:rFonts w:ascii="Times New Roman" w:hAnsi="Times New Roman" w:cs="Times New Roman"/>
          <w:iCs/>
          <w:sz w:val="24"/>
          <w:szCs w:val="24"/>
        </w:rPr>
        <w:t xml:space="preserve">P claimed the </w:t>
      </w:r>
      <w:r w:rsidR="001069EF">
        <w:rPr>
          <w:rFonts w:ascii="Times New Roman" w:hAnsi="Times New Roman" w:cs="Times New Roman"/>
          <w:iCs/>
          <w:sz w:val="24"/>
          <w:szCs w:val="24"/>
        </w:rPr>
        <w:t xml:space="preserve">net </w:t>
      </w:r>
      <w:r w:rsidRPr="00365A22">
        <w:rPr>
          <w:rFonts w:ascii="Times New Roman" w:hAnsi="Times New Roman" w:cs="Times New Roman"/>
          <w:iCs/>
          <w:sz w:val="24"/>
          <w:szCs w:val="24"/>
        </w:rPr>
        <w:t>cost of his outlay (</w:t>
      </w:r>
      <w:r w:rsidR="004E72E8">
        <w:rPr>
          <w:rFonts w:ascii="Times New Roman" w:hAnsi="Times New Roman" w:cs="Times New Roman"/>
          <w:iCs/>
          <w:sz w:val="24"/>
          <w:szCs w:val="24"/>
        </w:rPr>
        <w:t>£</w:t>
      </w:r>
      <w:r w:rsidRPr="00365A22">
        <w:rPr>
          <w:rFonts w:ascii="Times New Roman" w:hAnsi="Times New Roman" w:cs="Times New Roman"/>
          <w:iCs/>
          <w:sz w:val="24"/>
          <w:szCs w:val="24"/>
        </w:rPr>
        <w:t xml:space="preserve">1000) on the buildings on the </w:t>
      </w:r>
      <w:r w:rsidR="00B92025">
        <w:rPr>
          <w:rFonts w:ascii="Times New Roman" w:hAnsi="Times New Roman" w:cs="Times New Roman"/>
          <w:iCs/>
          <w:sz w:val="24"/>
          <w:szCs w:val="24"/>
        </w:rPr>
        <w:t xml:space="preserve">reasoning </w:t>
      </w:r>
      <w:r w:rsidRPr="00365A22">
        <w:rPr>
          <w:rFonts w:ascii="Times New Roman" w:hAnsi="Times New Roman" w:cs="Times New Roman"/>
          <w:iCs/>
          <w:sz w:val="24"/>
          <w:szCs w:val="24"/>
        </w:rPr>
        <w:t xml:space="preserve">that he was </w:t>
      </w:r>
      <w:r w:rsidRPr="00365A22">
        <w:rPr>
          <w:rFonts w:ascii="Times New Roman" w:hAnsi="Times New Roman" w:cs="Times New Roman"/>
          <w:i/>
          <w:iCs/>
          <w:sz w:val="24"/>
          <w:szCs w:val="24"/>
        </w:rPr>
        <w:t>good faith possessor</w:t>
      </w:r>
      <w:r w:rsidRPr="00365A22">
        <w:rPr>
          <w:rFonts w:ascii="Times New Roman" w:hAnsi="Times New Roman" w:cs="Times New Roman"/>
          <w:iCs/>
          <w:sz w:val="24"/>
          <w:szCs w:val="24"/>
        </w:rPr>
        <w:t xml:space="preserve"> of the land. </w:t>
      </w:r>
      <w:r w:rsidR="001069EF">
        <w:rPr>
          <w:rFonts w:ascii="Times New Roman" w:hAnsi="Times New Roman" w:cs="Times New Roman"/>
          <w:iCs/>
          <w:sz w:val="24"/>
          <w:szCs w:val="24"/>
        </w:rPr>
        <w:t xml:space="preserve">D offered </w:t>
      </w:r>
      <w:r w:rsidR="004E72E8">
        <w:rPr>
          <w:rFonts w:ascii="Times New Roman" w:hAnsi="Times New Roman" w:cs="Times New Roman"/>
          <w:iCs/>
          <w:sz w:val="24"/>
          <w:szCs w:val="24"/>
        </w:rPr>
        <w:t>£</w:t>
      </w:r>
      <w:r w:rsidR="001069EF">
        <w:rPr>
          <w:rFonts w:ascii="Times New Roman" w:hAnsi="Times New Roman" w:cs="Times New Roman"/>
          <w:iCs/>
          <w:sz w:val="24"/>
          <w:szCs w:val="24"/>
        </w:rPr>
        <w:t xml:space="preserve">300 and P sued for the balance of </w:t>
      </w:r>
      <w:r w:rsidR="004E72E8">
        <w:rPr>
          <w:rFonts w:ascii="Times New Roman" w:hAnsi="Times New Roman" w:cs="Times New Roman"/>
          <w:iCs/>
          <w:sz w:val="24"/>
          <w:szCs w:val="24"/>
        </w:rPr>
        <w:t>£</w:t>
      </w:r>
      <w:r w:rsidR="001069EF">
        <w:rPr>
          <w:rFonts w:ascii="Times New Roman" w:hAnsi="Times New Roman" w:cs="Times New Roman"/>
          <w:iCs/>
          <w:sz w:val="24"/>
          <w:szCs w:val="24"/>
        </w:rPr>
        <w:t xml:space="preserve">700. </w:t>
      </w:r>
      <w:r w:rsidRPr="00365A22">
        <w:rPr>
          <w:rFonts w:ascii="Times New Roman" w:hAnsi="Times New Roman" w:cs="Times New Roman"/>
          <w:iCs/>
          <w:sz w:val="24"/>
          <w:szCs w:val="24"/>
        </w:rPr>
        <w:t xml:space="preserve">P’s claim was seen to be problematic </w:t>
      </w:r>
      <w:r w:rsidR="004E72E8">
        <w:rPr>
          <w:rFonts w:ascii="Times New Roman" w:hAnsi="Times New Roman" w:cs="Times New Roman"/>
          <w:iCs/>
          <w:sz w:val="24"/>
          <w:szCs w:val="24"/>
        </w:rPr>
        <w:t xml:space="preserve">by the court </w:t>
      </w:r>
      <w:r w:rsidRPr="00365A22">
        <w:rPr>
          <w:rFonts w:ascii="Times New Roman" w:hAnsi="Times New Roman" w:cs="Times New Roman"/>
          <w:iCs/>
          <w:sz w:val="24"/>
          <w:szCs w:val="24"/>
        </w:rPr>
        <w:t xml:space="preserve">because he could not strictly be classified as a good faith possessor since he knew that he was not owner. The </w:t>
      </w:r>
      <w:r w:rsidR="004E72E8">
        <w:rPr>
          <w:rFonts w:ascii="Times New Roman" w:hAnsi="Times New Roman" w:cs="Times New Roman"/>
          <w:iCs/>
          <w:sz w:val="24"/>
          <w:szCs w:val="24"/>
        </w:rPr>
        <w:t xml:space="preserve">majority </w:t>
      </w:r>
      <w:r w:rsidRPr="00365A22">
        <w:rPr>
          <w:rFonts w:ascii="Times New Roman" w:hAnsi="Times New Roman" w:cs="Times New Roman"/>
          <w:iCs/>
          <w:sz w:val="24"/>
          <w:szCs w:val="24"/>
        </w:rPr>
        <w:t xml:space="preserve">approach was to allow his claim as a “good faith </w:t>
      </w:r>
      <w:r w:rsidRPr="00365A22">
        <w:rPr>
          <w:rFonts w:ascii="Times New Roman" w:hAnsi="Times New Roman" w:cs="Times New Roman"/>
          <w:i/>
          <w:iCs/>
          <w:sz w:val="24"/>
          <w:szCs w:val="24"/>
        </w:rPr>
        <w:t>occupier</w:t>
      </w:r>
      <w:r w:rsidRPr="00365A22">
        <w:rPr>
          <w:rFonts w:ascii="Times New Roman" w:hAnsi="Times New Roman" w:cs="Times New Roman"/>
          <w:iCs/>
          <w:sz w:val="24"/>
          <w:szCs w:val="24"/>
        </w:rPr>
        <w:t>” on an analogy with the good faith possessor/improver</w:t>
      </w:r>
      <w:r w:rsidR="007F4611">
        <w:rPr>
          <w:rFonts w:ascii="Times New Roman" w:hAnsi="Times New Roman" w:cs="Times New Roman"/>
          <w:iCs/>
          <w:sz w:val="24"/>
          <w:szCs w:val="24"/>
        </w:rPr>
        <w:t xml:space="preserve"> entitlement</w:t>
      </w:r>
      <w:r w:rsidRPr="00365A22">
        <w:rPr>
          <w:rFonts w:ascii="Times New Roman" w:hAnsi="Times New Roman" w:cs="Times New Roman"/>
          <w:iCs/>
          <w:sz w:val="24"/>
          <w:szCs w:val="24"/>
        </w:rPr>
        <w:t xml:space="preserve">. The understanding was that P was mistaken as to his title </w:t>
      </w:r>
      <w:r w:rsidR="00F32145">
        <w:rPr>
          <w:rFonts w:ascii="Times New Roman" w:hAnsi="Times New Roman" w:cs="Times New Roman"/>
          <w:iCs/>
          <w:sz w:val="24"/>
          <w:szCs w:val="24"/>
        </w:rPr>
        <w:t>(mistaken lessee</w:t>
      </w:r>
      <w:r w:rsidR="000A1068">
        <w:rPr>
          <w:rFonts w:ascii="Times New Roman" w:hAnsi="Times New Roman" w:cs="Times New Roman"/>
          <w:iCs/>
          <w:sz w:val="24"/>
          <w:szCs w:val="24"/>
        </w:rPr>
        <w:t xml:space="preserve"> in the land</w:t>
      </w:r>
      <w:r w:rsidR="004C4E09">
        <w:rPr>
          <w:rFonts w:ascii="Times New Roman" w:hAnsi="Times New Roman" w:cs="Times New Roman"/>
          <w:iCs/>
          <w:sz w:val="24"/>
          <w:szCs w:val="24"/>
        </w:rPr>
        <w:t>)</w:t>
      </w:r>
      <w:r w:rsidR="000A1068">
        <w:rPr>
          <w:rFonts w:ascii="Times New Roman" w:hAnsi="Times New Roman" w:cs="Times New Roman"/>
          <w:iCs/>
          <w:sz w:val="24"/>
          <w:szCs w:val="24"/>
        </w:rPr>
        <w:t xml:space="preserve"> </w:t>
      </w:r>
      <w:r w:rsidRPr="00365A22">
        <w:rPr>
          <w:rFonts w:ascii="Times New Roman" w:hAnsi="Times New Roman" w:cs="Times New Roman"/>
          <w:iCs/>
          <w:sz w:val="24"/>
          <w:szCs w:val="24"/>
        </w:rPr>
        <w:t xml:space="preserve">just as a good faith possessor </w:t>
      </w:r>
      <w:r w:rsidR="00CE0FC4">
        <w:rPr>
          <w:rFonts w:ascii="Times New Roman" w:hAnsi="Times New Roman" w:cs="Times New Roman"/>
          <w:iCs/>
          <w:sz w:val="24"/>
          <w:szCs w:val="24"/>
        </w:rPr>
        <w:t>is mistaken as to this title</w:t>
      </w:r>
      <w:r w:rsidR="004C4E09">
        <w:rPr>
          <w:rFonts w:ascii="Times New Roman" w:hAnsi="Times New Roman" w:cs="Times New Roman"/>
          <w:iCs/>
          <w:sz w:val="24"/>
          <w:szCs w:val="24"/>
        </w:rPr>
        <w:t xml:space="preserve">. However, there was not unanimity </w:t>
      </w:r>
      <w:r w:rsidR="00CE0FC4">
        <w:rPr>
          <w:rFonts w:ascii="Times New Roman" w:hAnsi="Times New Roman" w:cs="Times New Roman"/>
          <w:iCs/>
          <w:sz w:val="24"/>
          <w:szCs w:val="24"/>
        </w:rPr>
        <w:t>in this</w:t>
      </w:r>
      <w:r w:rsidR="004C4E09">
        <w:rPr>
          <w:rFonts w:ascii="Times New Roman" w:hAnsi="Times New Roman" w:cs="Times New Roman"/>
          <w:iCs/>
          <w:sz w:val="24"/>
          <w:szCs w:val="24"/>
        </w:rPr>
        <w:t xml:space="preserve"> approach.</w:t>
      </w:r>
      <w:r w:rsidR="00A25E8B">
        <w:rPr>
          <w:rFonts w:ascii="Times New Roman" w:hAnsi="Times New Roman" w:cs="Times New Roman"/>
          <w:iCs/>
          <w:sz w:val="24"/>
          <w:szCs w:val="24"/>
        </w:rPr>
        <w:t xml:space="preserve"> </w:t>
      </w:r>
      <w:r w:rsidR="000A1068">
        <w:rPr>
          <w:rFonts w:ascii="Times New Roman" w:hAnsi="Times New Roman" w:cs="Times New Roman"/>
          <w:iCs/>
          <w:sz w:val="24"/>
          <w:szCs w:val="24"/>
        </w:rPr>
        <w:t xml:space="preserve">Innes J gave the minority judgment. </w:t>
      </w:r>
      <w:r w:rsidR="00BA11B8">
        <w:rPr>
          <w:rFonts w:ascii="Times New Roman" w:hAnsi="Times New Roman" w:cs="Times New Roman"/>
          <w:iCs/>
          <w:sz w:val="24"/>
          <w:szCs w:val="24"/>
        </w:rPr>
        <w:t>He said that</w:t>
      </w:r>
      <w:r w:rsidR="00B92025">
        <w:rPr>
          <w:rFonts w:ascii="Times New Roman" w:hAnsi="Times New Roman" w:cs="Times New Roman"/>
          <w:iCs/>
          <w:sz w:val="24"/>
          <w:szCs w:val="24"/>
        </w:rPr>
        <w:t>:</w:t>
      </w:r>
      <w:r w:rsidR="009318C8" w:rsidRPr="009318C8">
        <w:rPr>
          <w:rStyle w:val="FootnoteReference"/>
          <w:rFonts w:ascii="Times New Roman" w:hAnsi="Times New Roman" w:cs="Times New Roman"/>
          <w:iCs/>
          <w:sz w:val="24"/>
          <w:szCs w:val="24"/>
        </w:rPr>
        <w:t xml:space="preserve"> </w:t>
      </w:r>
    </w:p>
    <w:p w14:paraId="384BB276" w14:textId="45E195C3" w:rsidR="000A1068" w:rsidRDefault="00371DF9" w:rsidP="00B92025">
      <w:pPr>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Both parties acted in accordance with the terms of the contract of lease which they thought to be binding, but which was discovered to be null and void..it was open to the owner to consent to the rectification of the informality, or to all</w:t>
      </w:r>
      <w:r w:rsidR="00B92025">
        <w:rPr>
          <w:rFonts w:ascii="Times New Roman" w:hAnsi="Times New Roman" w:cs="Times New Roman"/>
          <w:iCs/>
          <w:sz w:val="24"/>
          <w:szCs w:val="24"/>
        </w:rPr>
        <w:t>ow</w:t>
      </w:r>
      <w:r>
        <w:rPr>
          <w:rFonts w:ascii="Times New Roman" w:hAnsi="Times New Roman" w:cs="Times New Roman"/>
          <w:iCs/>
          <w:sz w:val="24"/>
          <w:szCs w:val="24"/>
        </w:rPr>
        <w:t xml:space="preserve"> the</w:t>
      </w:r>
      <w:r w:rsidR="00B92025">
        <w:rPr>
          <w:rFonts w:ascii="Times New Roman" w:hAnsi="Times New Roman" w:cs="Times New Roman"/>
          <w:iCs/>
          <w:sz w:val="24"/>
          <w:szCs w:val="24"/>
        </w:rPr>
        <w:t xml:space="preserve"> </w:t>
      </w:r>
      <w:r>
        <w:rPr>
          <w:rFonts w:ascii="Times New Roman" w:hAnsi="Times New Roman" w:cs="Times New Roman"/>
          <w:iCs/>
          <w:sz w:val="24"/>
          <w:szCs w:val="24"/>
        </w:rPr>
        <w:t>plaintiff the use of the property for the remainder of the term…</w:t>
      </w:r>
      <w:r w:rsidR="00B92025">
        <w:rPr>
          <w:rFonts w:ascii="Times New Roman" w:hAnsi="Times New Roman" w:cs="Times New Roman"/>
          <w:iCs/>
          <w:sz w:val="24"/>
          <w:szCs w:val="24"/>
        </w:rPr>
        <w:t>:</w:t>
      </w:r>
      <w:r w:rsidR="006449C6">
        <w:rPr>
          <w:rFonts w:ascii="Times New Roman" w:hAnsi="Times New Roman" w:cs="Times New Roman"/>
          <w:iCs/>
          <w:sz w:val="24"/>
          <w:szCs w:val="24"/>
        </w:rPr>
        <w:t xml:space="preserve"> Both parties thought that their rights were regulated by the invalid contract…But then it was argued </w:t>
      </w:r>
      <w:r w:rsidR="004C26BB">
        <w:rPr>
          <w:rFonts w:ascii="Times New Roman" w:hAnsi="Times New Roman" w:cs="Times New Roman"/>
          <w:iCs/>
          <w:sz w:val="24"/>
          <w:szCs w:val="24"/>
        </w:rPr>
        <w:t>t</w:t>
      </w:r>
      <w:r w:rsidR="00B92025">
        <w:rPr>
          <w:rFonts w:ascii="Times New Roman" w:hAnsi="Times New Roman" w:cs="Times New Roman"/>
          <w:iCs/>
          <w:sz w:val="24"/>
          <w:szCs w:val="24"/>
        </w:rPr>
        <w:t>h</w:t>
      </w:r>
      <w:r w:rsidR="006449C6">
        <w:rPr>
          <w:rFonts w:ascii="Times New Roman" w:hAnsi="Times New Roman" w:cs="Times New Roman"/>
          <w:iCs/>
          <w:sz w:val="24"/>
          <w:szCs w:val="24"/>
        </w:rPr>
        <w:t xml:space="preserve">at the plaintiff was a </w:t>
      </w:r>
      <w:r w:rsidR="006449C6" w:rsidRPr="00B92025">
        <w:rPr>
          <w:rFonts w:ascii="Times New Roman" w:hAnsi="Times New Roman" w:cs="Times New Roman"/>
          <w:i/>
          <w:iCs/>
          <w:sz w:val="24"/>
          <w:szCs w:val="24"/>
        </w:rPr>
        <w:t>bona fide</w:t>
      </w:r>
      <w:r w:rsidR="006449C6">
        <w:rPr>
          <w:rFonts w:ascii="Times New Roman" w:hAnsi="Times New Roman" w:cs="Times New Roman"/>
          <w:iCs/>
          <w:sz w:val="24"/>
          <w:szCs w:val="24"/>
        </w:rPr>
        <w:t xml:space="preserve"> occupier</w:t>
      </w:r>
      <w:r w:rsidR="004C26BB">
        <w:rPr>
          <w:rFonts w:ascii="Times New Roman" w:hAnsi="Times New Roman" w:cs="Times New Roman"/>
          <w:iCs/>
          <w:sz w:val="24"/>
          <w:szCs w:val="24"/>
        </w:rPr>
        <w:t xml:space="preserve">, entitled to full compensation as if he had been a </w:t>
      </w:r>
      <w:r w:rsidR="004C26BB" w:rsidRPr="00B92025">
        <w:rPr>
          <w:rFonts w:ascii="Times New Roman" w:hAnsi="Times New Roman" w:cs="Times New Roman"/>
          <w:i/>
          <w:iCs/>
          <w:sz w:val="24"/>
          <w:szCs w:val="24"/>
        </w:rPr>
        <w:t>bona fide</w:t>
      </w:r>
      <w:r w:rsidR="004C26BB">
        <w:rPr>
          <w:rFonts w:ascii="Times New Roman" w:hAnsi="Times New Roman" w:cs="Times New Roman"/>
          <w:iCs/>
          <w:sz w:val="24"/>
          <w:szCs w:val="24"/>
        </w:rPr>
        <w:t xml:space="preserve"> possessor. </w:t>
      </w:r>
      <w:r w:rsidR="004C26BB" w:rsidRPr="00B92025">
        <w:rPr>
          <w:rFonts w:ascii="Times New Roman" w:hAnsi="Times New Roman" w:cs="Times New Roman"/>
          <w:iCs/>
          <w:sz w:val="24"/>
          <w:szCs w:val="24"/>
        </w:rPr>
        <w:t>That is not the way in which the matter presents itself to my mind</w:t>
      </w:r>
      <w:r w:rsidR="004C26BB" w:rsidRPr="004C26BB">
        <w:rPr>
          <w:rFonts w:ascii="Times New Roman" w:hAnsi="Times New Roman" w:cs="Times New Roman"/>
          <w:b/>
          <w:iCs/>
          <w:sz w:val="24"/>
          <w:szCs w:val="24"/>
        </w:rPr>
        <w:t>”</w:t>
      </w:r>
      <w:r w:rsidR="004C26BB">
        <w:rPr>
          <w:rFonts w:ascii="Times New Roman" w:hAnsi="Times New Roman" w:cs="Times New Roman"/>
          <w:iCs/>
          <w:sz w:val="24"/>
          <w:szCs w:val="24"/>
        </w:rPr>
        <w:t>.</w:t>
      </w:r>
      <w:r w:rsidR="00C33CF6">
        <w:rPr>
          <w:rFonts w:ascii="Times New Roman" w:hAnsi="Times New Roman" w:cs="Times New Roman"/>
          <w:iCs/>
          <w:sz w:val="24"/>
          <w:szCs w:val="24"/>
        </w:rPr>
        <w:t xml:space="preserve"> </w:t>
      </w:r>
      <w:r w:rsidR="009F2C9E">
        <w:rPr>
          <w:rStyle w:val="FootnoteReference"/>
          <w:rFonts w:ascii="Times New Roman" w:hAnsi="Times New Roman" w:cs="Times New Roman"/>
          <w:iCs/>
          <w:sz w:val="24"/>
          <w:szCs w:val="24"/>
        </w:rPr>
        <w:footnoteReference w:id="32"/>
      </w:r>
    </w:p>
    <w:p w14:paraId="4B0A1F4D" w14:textId="77777777" w:rsidR="000A1068" w:rsidRDefault="000A1068" w:rsidP="00365A22">
      <w:pPr>
        <w:spacing w:after="0" w:line="360" w:lineRule="auto"/>
        <w:jc w:val="both"/>
        <w:rPr>
          <w:rFonts w:ascii="Times New Roman" w:hAnsi="Times New Roman" w:cs="Times New Roman"/>
          <w:iCs/>
          <w:sz w:val="24"/>
          <w:szCs w:val="24"/>
        </w:rPr>
      </w:pPr>
    </w:p>
    <w:p w14:paraId="5E5F9CEB" w14:textId="77777777" w:rsidR="00365A22" w:rsidRPr="00365A22" w:rsidRDefault="00365A22" w:rsidP="00365A22">
      <w:pPr>
        <w:spacing w:after="0" w:line="360" w:lineRule="auto"/>
        <w:jc w:val="both"/>
        <w:rPr>
          <w:rFonts w:ascii="Times New Roman" w:hAnsi="Times New Roman" w:cs="Times New Roman"/>
          <w:i/>
          <w:iCs/>
          <w:sz w:val="24"/>
          <w:szCs w:val="24"/>
        </w:rPr>
      </w:pPr>
      <w:r w:rsidRPr="00365A22">
        <w:rPr>
          <w:rFonts w:ascii="Times New Roman" w:hAnsi="Times New Roman" w:cs="Times New Roman"/>
          <w:i/>
          <w:iCs/>
          <w:sz w:val="24"/>
          <w:szCs w:val="24"/>
        </w:rPr>
        <w:t>Good Faith Possessor and Good Faith Occupier</w:t>
      </w:r>
    </w:p>
    <w:p w14:paraId="1513DC4F" w14:textId="61FDB6F0" w:rsidR="004000F3" w:rsidRDefault="00365A22" w:rsidP="00365A22">
      <w:pPr>
        <w:spacing w:after="0" w:line="360" w:lineRule="auto"/>
        <w:jc w:val="both"/>
        <w:rPr>
          <w:rFonts w:ascii="Times New Roman" w:hAnsi="Times New Roman" w:cs="Times New Roman"/>
          <w:iCs/>
          <w:sz w:val="24"/>
          <w:szCs w:val="24"/>
        </w:rPr>
      </w:pPr>
      <w:r w:rsidRPr="004000F3">
        <w:rPr>
          <w:rFonts w:ascii="Times New Roman" w:hAnsi="Times New Roman" w:cs="Times New Roman"/>
          <w:iCs/>
          <w:sz w:val="24"/>
          <w:szCs w:val="24"/>
        </w:rPr>
        <w:t xml:space="preserve">While in </w:t>
      </w:r>
      <w:r w:rsidR="00865435" w:rsidRPr="004000F3">
        <w:rPr>
          <w:rFonts w:ascii="Times New Roman" w:hAnsi="Times New Roman" w:cs="Times New Roman"/>
          <w:i/>
          <w:iCs/>
          <w:sz w:val="24"/>
          <w:szCs w:val="24"/>
        </w:rPr>
        <w:t>Rubin</w:t>
      </w:r>
      <w:r w:rsidR="00865435" w:rsidRPr="004000F3">
        <w:rPr>
          <w:rFonts w:ascii="Times New Roman" w:hAnsi="Times New Roman" w:cs="Times New Roman"/>
          <w:iCs/>
          <w:sz w:val="24"/>
          <w:szCs w:val="24"/>
        </w:rPr>
        <w:t xml:space="preserve"> </w:t>
      </w:r>
      <w:r w:rsidRPr="004000F3">
        <w:rPr>
          <w:rFonts w:ascii="Times New Roman" w:hAnsi="Times New Roman" w:cs="Times New Roman"/>
          <w:iCs/>
          <w:sz w:val="24"/>
          <w:szCs w:val="24"/>
        </w:rPr>
        <w:t xml:space="preserve">P was indeed mistaken as to his title to hold, it seems questionable to found upon this as the basis of his claim. Firstly it has had the consequence of creating a rule that good faith occupiers are as entitled to the cost of improvements as good faith possessors. But this cannot </w:t>
      </w:r>
      <w:r w:rsidR="00CE0FC4">
        <w:rPr>
          <w:rFonts w:ascii="Times New Roman" w:hAnsi="Times New Roman" w:cs="Times New Roman"/>
          <w:iCs/>
          <w:sz w:val="24"/>
          <w:szCs w:val="24"/>
        </w:rPr>
        <w:t xml:space="preserve">always </w:t>
      </w:r>
      <w:r w:rsidRPr="004000F3">
        <w:rPr>
          <w:rFonts w:ascii="Times New Roman" w:hAnsi="Times New Roman" w:cs="Times New Roman"/>
          <w:iCs/>
          <w:sz w:val="24"/>
          <w:szCs w:val="24"/>
        </w:rPr>
        <w:t xml:space="preserve">be the case unless a </w:t>
      </w:r>
      <w:r w:rsidRPr="003C7207">
        <w:rPr>
          <w:rFonts w:ascii="Times New Roman" w:hAnsi="Times New Roman" w:cs="Times New Roman"/>
          <w:iCs/>
          <w:sz w:val="24"/>
          <w:szCs w:val="24"/>
        </w:rPr>
        <w:t>good faith occupier</w:t>
      </w:r>
      <w:r w:rsidRPr="004000F3">
        <w:rPr>
          <w:rFonts w:ascii="Times New Roman" w:hAnsi="Times New Roman" w:cs="Times New Roman"/>
          <w:iCs/>
          <w:sz w:val="24"/>
          <w:szCs w:val="24"/>
        </w:rPr>
        <w:t xml:space="preserve"> is </w:t>
      </w:r>
      <w:r w:rsidR="00CE0FC4">
        <w:rPr>
          <w:rFonts w:ascii="Times New Roman" w:hAnsi="Times New Roman" w:cs="Times New Roman"/>
          <w:iCs/>
          <w:sz w:val="24"/>
          <w:szCs w:val="24"/>
        </w:rPr>
        <w:t xml:space="preserve">sometimes </w:t>
      </w:r>
      <w:r w:rsidRPr="004000F3">
        <w:rPr>
          <w:rFonts w:ascii="Times New Roman" w:hAnsi="Times New Roman" w:cs="Times New Roman"/>
          <w:iCs/>
          <w:sz w:val="24"/>
          <w:szCs w:val="24"/>
        </w:rPr>
        <w:t xml:space="preserve">to be treated, as a matter of principle, more favourably than a </w:t>
      </w:r>
      <w:r w:rsidRPr="003C7207">
        <w:rPr>
          <w:rFonts w:ascii="Times New Roman" w:hAnsi="Times New Roman" w:cs="Times New Roman"/>
          <w:iCs/>
          <w:sz w:val="24"/>
          <w:szCs w:val="24"/>
        </w:rPr>
        <w:t>lawful occupier</w:t>
      </w:r>
      <w:r w:rsidRPr="004000F3">
        <w:rPr>
          <w:rFonts w:ascii="Times New Roman" w:hAnsi="Times New Roman" w:cs="Times New Roman"/>
          <w:iCs/>
          <w:sz w:val="24"/>
          <w:szCs w:val="24"/>
        </w:rPr>
        <w:t xml:space="preserve">. </w:t>
      </w:r>
      <w:r w:rsidR="00CE0FC4">
        <w:rPr>
          <w:rFonts w:ascii="Times New Roman" w:hAnsi="Times New Roman" w:cs="Times New Roman"/>
          <w:iCs/>
          <w:sz w:val="24"/>
          <w:szCs w:val="24"/>
        </w:rPr>
        <w:t xml:space="preserve">For example, </w:t>
      </w:r>
      <w:r w:rsidRPr="004000F3">
        <w:rPr>
          <w:rFonts w:ascii="Times New Roman" w:hAnsi="Times New Roman" w:cs="Times New Roman"/>
          <w:iCs/>
          <w:sz w:val="24"/>
          <w:szCs w:val="24"/>
        </w:rPr>
        <w:t xml:space="preserve">an occupier who thinks that he is a tenant is put in a better position than an occupier who is a tenant, </w:t>
      </w:r>
      <w:r w:rsidR="004000F3">
        <w:rPr>
          <w:rFonts w:ascii="Times New Roman" w:hAnsi="Times New Roman" w:cs="Times New Roman"/>
          <w:iCs/>
          <w:sz w:val="24"/>
          <w:szCs w:val="24"/>
        </w:rPr>
        <w:t>which seems odd since a tenant is not normally entitled to the costs of improvements.</w:t>
      </w:r>
      <w:r w:rsidRPr="004000F3">
        <w:rPr>
          <w:rFonts w:ascii="Times New Roman" w:hAnsi="Times New Roman" w:cs="Times New Roman"/>
          <w:iCs/>
          <w:sz w:val="24"/>
          <w:szCs w:val="24"/>
        </w:rPr>
        <w:t xml:space="preserve"> Secondly, </w:t>
      </w:r>
      <w:r w:rsidR="004000F3">
        <w:rPr>
          <w:rFonts w:ascii="Times New Roman" w:hAnsi="Times New Roman" w:cs="Times New Roman"/>
          <w:iCs/>
          <w:sz w:val="24"/>
          <w:szCs w:val="24"/>
        </w:rPr>
        <w:t xml:space="preserve">as observed by Innes J., </w:t>
      </w:r>
      <w:r w:rsidRPr="004000F3">
        <w:rPr>
          <w:rFonts w:ascii="Times New Roman" w:hAnsi="Times New Roman" w:cs="Times New Roman"/>
          <w:iCs/>
          <w:sz w:val="24"/>
          <w:szCs w:val="24"/>
        </w:rPr>
        <w:t xml:space="preserve">the reasoning </w:t>
      </w:r>
      <w:r w:rsidR="004000F3">
        <w:rPr>
          <w:rFonts w:ascii="Times New Roman" w:hAnsi="Times New Roman" w:cs="Times New Roman"/>
          <w:iCs/>
          <w:sz w:val="24"/>
          <w:szCs w:val="24"/>
        </w:rPr>
        <w:t xml:space="preserve">of the majority </w:t>
      </w:r>
      <w:r w:rsidRPr="004000F3">
        <w:rPr>
          <w:rFonts w:ascii="Times New Roman" w:hAnsi="Times New Roman" w:cs="Times New Roman"/>
          <w:iCs/>
          <w:sz w:val="24"/>
          <w:szCs w:val="24"/>
        </w:rPr>
        <w:t xml:space="preserve">ignores the fact that the more obvious </w:t>
      </w:r>
      <w:r w:rsidR="004000F3">
        <w:rPr>
          <w:rFonts w:ascii="Times New Roman" w:hAnsi="Times New Roman" w:cs="Times New Roman"/>
          <w:iCs/>
          <w:sz w:val="24"/>
          <w:szCs w:val="24"/>
        </w:rPr>
        <w:t xml:space="preserve">cause </w:t>
      </w:r>
      <w:r w:rsidR="003C7207">
        <w:rPr>
          <w:rFonts w:ascii="Times New Roman" w:hAnsi="Times New Roman" w:cs="Times New Roman"/>
          <w:iCs/>
          <w:sz w:val="24"/>
          <w:szCs w:val="24"/>
        </w:rPr>
        <w:t xml:space="preserve">(motivation) </w:t>
      </w:r>
      <w:r w:rsidR="004000F3">
        <w:rPr>
          <w:rFonts w:ascii="Times New Roman" w:hAnsi="Times New Roman" w:cs="Times New Roman"/>
          <w:iCs/>
          <w:sz w:val="24"/>
          <w:szCs w:val="24"/>
        </w:rPr>
        <w:t xml:space="preserve">of P’s improvement </w:t>
      </w:r>
      <w:r w:rsidR="003C7207">
        <w:rPr>
          <w:rFonts w:ascii="Times New Roman" w:hAnsi="Times New Roman" w:cs="Times New Roman"/>
          <w:iCs/>
          <w:sz w:val="24"/>
          <w:szCs w:val="24"/>
        </w:rPr>
        <w:t>lay</w:t>
      </w:r>
      <w:r w:rsidRPr="004000F3">
        <w:rPr>
          <w:rFonts w:ascii="Times New Roman" w:hAnsi="Times New Roman" w:cs="Times New Roman"/>
          <w:iCs/>
          <w:sz w:val="24"/>
          <w:szCs w:val="24"/>
        </w:rPr>
        <w:t xml:space="preserve"> in the agreement that he concluded with D</w:t>
      </w:r>
      <w:r w:rsidR="00F72266">
        <w:rPr>
          <w:rFonts w:ascii="Times New Roman" w:hAnsi="Times New Roman" w:cs="Times New Roman"/>
          <w:iCs/>
          <w:sz w:val="24"/>
          <w:szCs w:val="24"/>
        </w:rPr>
        <w:t>.</w:t>
      </w:r>
      <w:r w:rsidR="003547F7">
        <w:rPr>
          <w:rFonts w:ascii="Times New Roman" w:hAnsi="Times New Roman" w:cs="Times New Roman"/>
          <w:b/>
          <w:iCs/>
          <w:sz w:val="24"/>
          <w:szCs w:val="24"/>
        </w:rPr>
        <w:t xml:space="preserve"> </w:t>
      </w:r>
      <w:r w:rsidR="00E8615C" w:rsidRPr="00E8615C">
        <w:rPr>
          <w:rFonts w:ascii="Times New Roman" w:hAnsi="Times New Roman" w:cs="Times New Roman"/>
          <w:iCs/>
          <w:sz w:val="24"/>
          <w:szCs w:val="24"/>
        </w:rPr>
        <w:t>P built because he agreed, and he thought therefore that he was obliged, to do so under the terms of the agreement</w:t>
      </w:r>
      <w:r w:rsidR="00F72266">
        <w:rPr>
          <w:rFonts w:ascii="Times New Roman" w:hAnsi="Times New Roman" w:cs="Times New Roman"/>
          <w:iCs/>
          <w:sz w:val="24"/>
          <w:szCs w:val="24"/>
        </w:rPr>
        <w:t>. W</w:t>
      </w:r>
      <w:r w:rsidR="00E8615C" w:rsidRPr="00E8615C">
        <w:rPr>
          <w:rFonts w:ascii="Times New Roman" w:hAnsi="Times New Roman" w:cs="Times New Roman"/>
          <w:iCs/>
          <w:sz w:val="24"/>
          <w:szCs w:val="24"/>
        </w:rPr>
        <w:t>e have</w:t>
      </w:r>
      <w:r w:rsidR="00001EAF">
        <w:rPr>
          <w:rFonts w:ascii="Times New Roman" w:hAnsi="Times New Roman" w:cs="Times New Roman"/>
          <w:iCs/>
          <w:sz w:val="24"/>
          <w:szCs w:val="24"/>
        </w:rPr>
        <w:t>, what would in terms of the modern reconceptualization of the condictio</w:t>
      </w:r>
      <w:r w:rsidR="00DB22F2">
        <w:rPr>
          <w:rFonts w:ascii="Times New Roman" w:hAnsi="Times New Roman" w:cs="Times New Roman"/>
          <w:iCs/>
          <w:sz w:val="24"/>
          <w:szCs w:val="24"/>
        </w:rPr>
        <w:t xml:space="preserve"> be</w:t>
      </w:r>
      <w:r w:rsidR="00001EAF">
        <w:rPr>
          <w:rFonts w:ascii="Times New Roman" w:hAnsi="Times New Roman" w:cs="Times New Roman"/>
          <w:iCs/>
          <w:sz w:val="24"/>
          <w:szCs w:val="24"/>
        </w:rPr>
        <w:t>,</w:t>
      </w:r>
      <w:r w:rsidR="00E8615C" w:rsidRPr="00E8615C">
        <w:rPr>
          <w:rFonts w:ascii="Times New Roman" w:hAnsi="Times New Roman" w:cs="Times New Roman"/>
          <w:iCs/>
          <w:sz w:val="24"/>
          <w:szCs w:val="24"/>
        </w:rPr>
        <w:t xml:space="preserve"> a straightforward case of performance (</w:t>
      </w:r>
      <w:r w:rsidR="00E8615C" w:rsidRPr="00E8615C">
        <w:rPr>
          <w:rFonts w:ascii="Times New Roman" w:hAnsi="Times New Roman" w:cs="Times New Roman"/>
          <w:i/>
          <w:iCs/>
          <w:sz w:val="24"/>
          <w:szCs w:val="24"/>
        </w:rPr>
        <w:t>causa solvendi</w:t>
      </w:r>
      <w:r w:rsidR="00E8615C" w:rsidRPr="00E8615C">
        <w:rPr>
          <w:rFonts w:ascii="Times New Roman" w:hAnsi="Times New Roman" w:cs="Times New Roman"/>
          <w:iCs/>
          <w:sz w:val="24"/>
          <w:szCs w:val="24"/>
        </w:rPr>
        <w:t xml:space="preserve">) of a void contract that constitutes the cause of action expressed by </w:t>
      </w:r>
      <w:r w:rsidR="00E8615C" w:rsidRPr="00E8615C">
        <w:rPr>
          <w:rFonts w:ascii="Times New Roman" w:hAnsi="Times New Roman" w:cs="Times New Roman"/>
          <w:i/>
          <w:iCs/>
          <w:sz w:val="24"/>
          <w:szCs w:val="24"/>
        </w:rPr>
        <w:t>condictio indebiti</w:t>
      </w:r>
      <w:r w:rsidR="00E8615C" w:rsidRPr="00E8615C">
        <w:rPr>
          <w:rFonts w:ascii="Times New Roman" w:hAnsi="Times New Roman" w:cs="Times New Roman"/>
          <w:iCs/>
          <w:sz w:val="24"/>
          <w:szCs w:val="24"/>
        </w:rPr>
        <w:t>.</w:t>
      </w:r>
      <w:r w:rsidR="004E57DF" w:rsidRPr="004E57DF">
        <w:rPr>
          <w:rFonts w:ascii="Times New Roman" w:hAnsi="Times New Roman" w:cs="Times New Roman"/>
          <w:iCs/>
          <w:sz w:val="24"/>
          <w:szCs w:val="24"/>
        </w:rPr>
        <w:t xml:space="preserve"> </w:t>
      </w:r>
      <w:r w:rsidR="004E57DF" w:rsidRPr="00001EAF">
        <w:rPr>
          <w:rFonts w:ascii="Times New Roman" w:hAnsi="Times New Roman" w:cs="Times New Roman"/>
          <w:iCs/>
          <w:sz w:val="24"/>
          <w:szCs w:val="24"/>
        </w:rPr>
        <w:t xml:space="preserve">Thirdly, the failure to separate out the different </w:t>
      </w:r>
      <w:r w:rsidR="00CE0FC4" w:rsidRPr="00001EAF">
        <w:rPr>
          <w:rFonts w:ascii="Times New Roman" w:hAnsi="Times New Roman" w:cs="Times New Roman"/>
          <w:iCs/>
          <w:sz w:val="24"/>
          <w:szCs w:val="24"/>
        </w:rPr>
        <w:t>causes of action (</w:t>
      </w:r>
      <w:r w:rsidR="00CE0FC4" w:rsidRPr="00001EAF">
        <w:rPr>
          <w:rFonts w:ascii="Times New Roman" w:hAnsi="Times New Roman" w:cs="Times New Roman"/>
          <w:i/>
          <w:iCs/>
          <w:sz w:val="24"/>
          <w:szCs w:val="24"/>
        </w:rPr>
        <w:t>condictio</w:t>
      </w:r>
      <w:r w:rsidR="00CE0FC4" w:rsidRPr="00001EAF">
        <w:rPr>
          <w:rFonts w:ascii="Times New Roman" w:hAnsi="Times New Roman" w:cs="Times New Roman"/>
          <w:iCs/>
          <w:sz w:val="24"/>
          <w:szCs w:val="24"/>
        </w:rPr>
        <w:t xml:space="preserve"> rather than good faith occupier) </w:t>
      </w:r>
      <w:r w:rsidR="004E57DF" w:rsidRPr="00001EAF">
        <w:rPr>
          <w:rFonts w:ascii="Times New Roman" w:hAnsi="Times New Roman" w:cs="Times New Roman"/>
          <w:iCs/>
          <w:sz w:val="24"/>
          <w:szCs w:val="24"/>
        </w:rPr>
        <w:t xml:space="preserve">in </w:t>
      </w:r>
      <w:r w:rsidR="004E57DF" w:rsidRPr="00001EAF">
        <w:rPr>
          <w:rFonts w:ascii="Times New Roman" w:hAnsi="Times New Roman" w:cs="Times New Roman"/>
          <w:i/>
          <w:iCs/>
          <w:sz w:val="24"/>
          <w:szCs w:val="24"/>
        </w:rPr>
        <w:t xml:space="preserve">Rubin </w:t>
      </w:r>
      <w:r w:rsidR="004E57DF" w:rsidRPr="00001EAF">
        <w:rPr>
          <w:rFonts w:ascii="Times New Roman" w:hAnsi="Times New Roman" w:cs="Times New Roman"/>
          <w:iCs/>
          <w:sz w:val="24"/>
          <w:szCs w:val="24"/>
        </w:rPr>
        <w:t>imports confusions concerning the appropriate measure of recovery. Where the cause of action derives from the performance of a void contract (</w:t>
      </w:r>
      <w:r w:rsidR="004E57DF" w:rsidRPr="00001EAF">
        <w:rPr>
          <w:rFonts w:ascii="Times New Roman" w:hAnsi="Times New Roman" w:cs="Times New Roman"/>
          <w:i/>
          <w:iCs/>
          <w:sz w:val="24"/>
          <w:szCs w:val="24"/>
        </w:rPr>
        <w:t>condictio</w:t>
      </w:r>
      <w:r w:rsidR="004E57DF" w:rsidRPr="00001EAF">
        <w:rPr>
          <w:rFonts w:ascii="Times New Roman" w:hAnsi="Times New Roman" w:cs="Times New Roman"/>
          <w:iCs/>
          <w:sz w:val="24"/>
          <w:szCs w:val="24"/>
        </w:rPr>
        <w:t xml:space="preserve">) enrichment law traditionally steps in to re-establish the </w:t>
      </w:r>
      <w:r w:rsidR="004E57DF" w:rsidRPr="00001EAF">
        <w:rPr>
          <w:rFonts w:ascii="Times New Roman" w:hAnsi="Times New Roman" w:cs="Times New Roman"/>
          <w:i/>
          <w:iCs/>
          <w:sz w:val="24"/>
          <w:szCs w:val="24"/>
        </w:rPr>
        <w:t>status quo ante</w:t>
      </w:r>
      <w:r w:rsidR="004E57DF" w:rsidRPr="00001EAF">
        <w:rPr>
          <w:rFonts w:ascii="Times New Roman" w:hAnsi="Times New Roman" w:cs="Times New Roman"/>
          <w:iCs/>
          <w:sz w:val="24"/>
          <w:szCs w:val="24"/>
        </w:rPr>
        <w:t xml:space="preserve">. Each party to the invalid transaction conferred a benefit willingly upon the other party and the </w:t>
      </w:r>
      <w:r w:rsidR="007F4611" w:rsidRPr="00001EAF">
        <w:rPr>
          <w:rFonts w:ascii="Times New Roman" w:hAnsi="Times New Roman" w:cs="Times New Roman"/>
          <w:iCs/>
          <w:sz w:val="24"/>
          <w:szCs w:val="24"/>
        </w:rPr>
        <w:t xml:space="preserve">aim </w:t>
      </w:r>
      <w:r w:rsidR="004E57DF" w:rsidRPr="00001EAF">
        <w:rPr>
          <w:rFonts w:ascii="Times New Roman" w:hAnsi="Times New Roman" w:cs="Times New Roman"/>
          <w:iCs/>
          <w:sz w:val="24"/>
          <w:szCs w:val="24"/>
        </w:rPr>
        <w:t xml:space="preserve">of the law is to restore to the other the full amount of the benefit that each received. In the absence of special considerations like “loss of enrichment” any other solution – namely full restoration by each party of what had been </w:t>
      </w:r>
      <w:r w:rsidR="00334216">
        <w:rPr>
          <w:rFonts w:ascii="Times New Roman" w:hAnsi="Times New Roman" w:cs="Times New Roman"/>
          <w:iCs/>
          <w:sz w:val="24"/>
          <w:szCs w:val="24"/>
        </w:rPr>
        <w:t xml:space="preserve"> </w:t>
      </w:r>
      <w:r w:rsidR="00001EAF">
        <w:rPr>
          <w:rFonts w:ascii="Times New Roman" w:hAnsi="Times New Roman" w:cs="Times New Roman"/>
          <w:iCs/>
          <w:sz w:val="24"/>
          <w:szCs w:val="24"/>
        </w:rPr>
        <w:t>deliberately conferred on the other</w:t>
      </w:r>
      <w:r w:rsidR="004E57DF" w:rsidRPr="00001EAF">
        <w:rPr>
          <w:rFonts w:ascii="Times New Roman" w:hAnsi="Times New Roman" w:cs="Times New Roman"/>
          <w:iCs/>
          <w:sz w:val="24"/>
          <w:szCs w:val="24"/>
        </w:rPr>
        <w:t xml:space="preserve"> - simply would not make sense. This is very diffe</w:t>
      </w:r>
      <w:r w:rsidR="004E57DF" w:rsidRPr="004E57DF">
        <w:rPr>
          <w:rFonts w:ascii="Times New Roman" w:hAnsi="Times New Roman" w:cs="Times New Roman"/>
          <w:iCs/>
          <w:sz w:val="24"/>
          <w:szCs w:val="24"/>
        </w:rPr>
        <w:t xml:space="preserve">rent from the case where a good faith possessor (P) builds upon another’s land. In such circumstances one is not dealing with </w:t>
      </w:r>
      <w:r w:rsidR="00001EAF">
        <w:rPr>
          <w:rFonts w:ascii="Times New Roman" w:hAnsi="Times New Roman" w:cs="Times New Roman"/>
          <w:iCs/>
          <w:sz w:val="24"/>
          <w:szCs w:val="24"/>
        </w:rPr>
        <w:t>the deliberate conferral of a benefit</w:t>
      </w:r>
      <w:r w:rsidR="004E57DF" w:rsidRPr="004E57DF">
        <w:rPr>
          <w:rFonts w:ascii="Times New Roman" w:hAnsi="Times New Roman" w:cs="Times New Roman"/>
          <w:iCs/>
          <w:sz w:val="24"/>
          <w:szCs w:val="24"/>
        </w:rPr>
        <w:t xml:space="preserve"> </w:t>
      </w:r>
      <w:r w:rsidR="003C7207">
        <w:rPr>
          <w:rFonts w:ascii="Times New Roman" w:hAnsi="Times New Roman" w:cs="Times New Roman"/>
          <w:iCs/>
          <w:sz w:val="24"/>
          <w:szCs w:val="24"/>
        </w:rPr>
        <w:t xml:space="preserve">but compensation of the builder in </w:t>
      </w:r>
      <w:r w:rsidR="00CE0FC4">
        <w:rPr>
          <w:rFonts w:ascii="Times New Roman" w:hAnsi="Times New Roman" w:cs="Times New Roman"/>
          <w:iCs/>
          <w:sz w:val="24"/>
          <w:szCs w:val="24"/>
        </w:rPr>
        <w:t xml:space="preserve">very special </w:t>
      </w:r>
      <w:r w:rsidR="003C7207">
        <w:rPr>
          <w:rFonts w:ascii="Times New Roman" w:hAnsi="Times New Roman" w:cs="Times New Roman"/>
          <w:iCs/>
          <w:sz w:val="24"/>
          <w:szCs w:val="24"/>
        </w:rPr>
        <w:t>circumstances where the owner has legitimate</w:t>
      </w:r>
      <w:r w:rsidR="00CE0FC4">
        <w:rPr>
          <w:rFonts w:ascii="Times New Roman" w:hAnsi="Times New Roman" w:cs="Times New Roman"/>
          <w:iCs/>
          <w:sz w:val="24"/>
          <w:szCs w:val="24"/>
        </w:rPr>
        <w:t xml:space="preserve"> counter-</w:t>
      </w:r>
      <w:r w:rsidR="003C7207">
        <w:rPr>
          <w:rFonts w:ascii="Times New Roman" w:hAnsi="Times New Roman" w:cs="Times New Roman"/>
          <w:iCs/>
          <w:sz w:val="24"/>
          <w:szCs w:val="24"/>
        </w:rPr>
        <w:t>interests to protect. The result in such “imposition” cases is</w:t>
      </w:r>
      <w:r w:rsidR="00CE0FC4">
        <w:rPr>
          <w:rFonts w:ascii="Times New Roman" w:hAnsi="Times New Roman" w:cs="Times New Roman"/>
          <w:iCs/>
          <w:sz w:val="24"/>
          <w:szCs w:val="24"/>
        </w:rPr>
        <w:t xml:space="preserve"> normally </w:t>
      </w:r>
      <w:r w:rsidR="003C7207">
        <w:rPr>
          <w:rFonts w:ascii="Times New Roman" w:hAnsi="Times New Roman" w:cs="Times New Roman"/>
          <w:iCs/>
          <w:sz w:val="24"/>
          <w:szCs w:val="24"/>
        </w:rPr>
        <w:t xml:space="preserve">to award the lesser </w:t>
      </w:r>
      <w:r w:rsidR="00CE0FC4">
        <w:rPr>
          <w:rFonts w:ascii="Times New Roman" w:hAnsi="Times New Roman" w:cs="Times New Roman"/>
          <w:iCs/>
          <w:sz w:val="24"/>
          <w:szCs w:val="24"/>
        </w:rPr>
        <w:t>between D’s</w:t>
      </w:r>
      <w:r w:rsidR="003C7207">
        <w:rPr>
          <w:rFonts w:ascii="Times New Roman" w:hAnsi="Times New Roman" w:cs="Times New Roman"/>
          <w:iCs/>
          <w:sz w:val="24"/>
          <w:szCs w:val="24"/>
        </w:rPr>
        <w:t xml:space="preserve"> enrichment </w:t>
      </w:r>
      <w:r w:rsidR="003C2253">
        <w:rPr>
          <w:rFonts w:ascii="Times New Roman" w:hAnsi="Times New Roman" w:cs="Times New Roman"/>
          <w:iCs/>
          <w:sz w:val="24"/>
          <w:szCs w:val="24"/>
        </w:rPr>
        <w:t xml:space="preserve">and </w:t>
      </w:r>
      <w:r w:rsidR="00CE0FC4">
        <w:rPr>
          <w:rFonts w:ascii="Times New Roman" w:hAnsi="Times New Roman" w:cs="Times New Roman"/>
          <w:iCs/>
          <w:sz w:val="24"/>
          <w:szCs w:val="24"/>
        </w:rPr>
        <w:t xml:space="preserve">P’s </w:t>
      </w:r>
      <w:r w:rsidR="003C2253">
        <w:rPr>
          <w:rFonts w:ascii="Times New Roman" w:hAnsi="Times New Roman" w:cs="Times New Roman"/>
          <w:iCs/>
          <w:sz w:val="24"/>
          <w:szCs w:val="24"/>
        </w:rPr>
        <w:t>outlay costs.</w:t>
      </w:r>
    </w:p>
    <w:p w14:paraId="35F77C9F" w14:textId="51A8472A" w:rsidR="00365A22" w:rsidRPr="007D6C17" w:rsidRDefault="005347B3" w:rsidP="00365A22">
      <w:pPr>
        <w:spacing w:after="0" w:line="360" w:lineRule="auto"/>
        <w:jc w:val="both"/>
        <w:rPr>
          <w:rFonts w:ascii="Times New Roman" w:hAnsi="Times New Roman" w:cs="Times New Roman"/>
          <w:iCs/>
          <w:sz w:val="24"/>
          <w:szCs w:val="24"/>
        </w:rPr>
      </w:pPr>
      <w:r>
        <w:rPr>
          <w:rFonts w:ascii="Times New Roman" w:hAnsi="Times New Roman" w:cs="Times New Roman"/>
          <w:b/>
          <w:iCs/>
          <w:sz w:val="24"/>
          <w:szCs w:val="24"/>
        </w:rPr>
        <w:tab/>
      </w:r>
      <w:r w:rsidRPr="005347B3">
        <w:rPr>
          <w:rFonts w:ascii="Times New Roman" w:hAnsi="Times New Roman" w:cs="Times New Roman"/>
          <w:iCs/>
          <w:sz w:val="24"/>
          <w:szCs w:val="24"/>
        </w:rPr>
        <w:t xml:space="preserve">By the time that </w:t>
      </w:r>
      <w:r w:rsidR="00A2011E" w:rsidRPr="007D6C17">
        <w:rPr>
          <w:rFonts w:ascii="Times New Roman" w:hAnsi="Times New Roman" w:cs="Times New Roman"/>
          <w:i/>
          <w:iCs/>
          <w:sz w:val="24"/>
          <w:szCs w:val="24"/>
        </w:rPr>
        <w:t xml:space="preserve">Fletcher and </w:t>
      </w:r>
      <w:r w:rsidR="00865435" w:rsidRPr="007D6C17">
        <w:rPr>
          <w:rFonts w:ascii="Times New Roman" w:hAnsi="Times New Roman" w:cs="Times New Roman"/>
          <w:i/>
          <w:iCs/>
          <w:sz w:val="24"/>
          <w:szCs w:val="24"/>
        </w:rPr>
        <w:t>Fletcher</w:t>
      </w:r>
      <w:r w:rsidR="003547F7" w:rsidRPr="007D6C17">
        <w:rPr>
          <w:rFonts w:ascii="Times New Roman" w:hAnsi="Times New Roman" w:cs="Times New Roman"/>
          <w:i/>
          <w:iCs/>
          <w:sz w:val="24"/>
          <w:szCs w:val="24"/>
        </w:rPr>
        <w:t xml:space="preserve"> v Bulawayo Water Company Ltd</w:t>
      </w:r>
      <w:r w:rsidR="009318C8">
        <w:rPr>
          <w:rStyle w:val="FootnoteReference"/>
          <w:rFonts w:ascii="Times New Roman" w:hAnsi="Times New Roman" w:cs="Times New Roman"/>
          <w:i/>
          <w:iCs/>
          <w:sz w:val="24"/>
          <w:szCs w:val="24"/>
        </w:rPr>
        <w:footnoteReference w:id="33"/>
      </w:r>
      <w:r w:rsidR="003547F7">
        <w:rPr>
          <w:rFonts w:ascii="Times New Roman" w:hAnsi="Times New Roman" w:cs="Times New Roman"/>
          <w:b/>
          <w:iCs/>
          <w:sz w:val="24"/>
          <w:szCs w:val="24"/>
        </w:rPr>
        <w:t xml:space="preserve"> </w:t>
      </w:r>
      <w:r w:rsidR="00865435" w:rsidRPr="007D6C17">
        <w:rPr>
          <w:rFonts w:ascii="Times New Roman" w:hAnsi="Times New Roman" w:cs="Times New Roman"/>
          <w:iCs/>
          <w:sz w:val="24"/>
          <w:szCs w:val="24"/>
        </w:rPr>
        <w:t xml:space="preserve"> </w:t>
      </w:r>
      <w:r w:rsidR="007D6C17">
        <w:rPr>
          <w:rFonts w:ascii="Times New Roman" w:hAnsi="Times New Roman" w:cs="Times New Roman"/>
          <w:iCs/>
          <w:sz w:val="24"/>
          <w:szCs w:val="24"/>
        </w:rPr>
        <w:t xml:space="preserve">was heard before the Appellate Division </w:t>
      </w:r>
      <w:r w:rsidR="006F0E43">
        <w:rPr>
          <w:rFonts w:ascii="Times New Roman" w:hAnsi="Times New Roman" w:cs="Times New Roman"/>
          <w:iCs/>
          <w:sz w:val="24"/>
          <w:szCs w:val="24"/>
        </w:rPr>
        <w:t xml:space="preserve">four years later </w:t>
      </w:r>
      <w:r w:rsidR="004E57DF">
        <w:rPr>
          <w:rFonts w:ascii="Times New Roman" w:hAnsi="Times New Roman" w:cs="Times New Roman"/>
          <w:iCs/>
          <w:sz w:val="24"/>
          <w:szCs w:val="24"/>
        </w:rPr>
        <w:t xml:space="preserve">Justice </w:t>
      </w:r>
      <w:r w:rsidR="007D6C17">
        <w:rPr>
          <w:rFonts w:ascii="Times New Roman" w:hAnsi="Times New Roman" w:cs="Times New Roman"/>
          <w:iCs/>
          <w:sz w:val="24"/>
          <w:szCs w:val="24"/>
        </w:rPr>
        <w:t xml:space="preserve">Innes had become Chief Justice. </w:t>
      </w:r>
      <w:r w:rsidR="004E57DF">
        <w:rPr>
          <w:rFonts w:ascii="Times New Roman" w:hAnsi="Times New Roman" w:cs="Times New Roman"/>
          <w:iCs/>
          <w:sz w:val="24"/>
          <w:szCs w:val="24"/>
        </w:rPr>
        <w:t xml:space="preserve">However, his </w:t>
      </w:r>
      <w:r w:rsidR="007D6C17">
        <w:rPr>
          <w:rFonts w:ascii="Times New Roman" w:hAnsi="Times New Roman" w:cs="Times New Roman"/>
          <w:iCs/>
          <w:sz w:val="24"/>
          <w:szCs w:val="24"/>
        </w:rPr>
        <w:t xml:space="preserve">opinion on the merits of his judgment in </w:t>
      </w:r>
      <w:r w:rsidR="007D6C17" w:rsidRPr="003C2253">
        <w:rPr>
          <w:rFonts w:ascii="Times New Roman" w:hAnsi="Times New Roman" w:cs="Times New Roman"/>
          <w:i/>
          <w:iCs/>
          <w:sz w:val="24"/>
          <w:szCs w:val="24"/>
        </w:rPr>
        <w:t>Rubin</w:t>
      </w:r>
      <w:r w:rsidR="007D6C17">
        <w:rPr>
          <w:rFonts w:ascii="Times New Roman" w:hAnsi="Times New Roman" w:cs="Times New Roman"/>
          <w:iCs/>
          <w:sz w:val="24"/>
          <w:szCs w:val="24"/>
        </w:rPr>
        <w:t xml:space="preserve"> </w:t>
      </w:r>
      <w:r w:rsidR="004E57DF">
        <w:rPr>
          <w:rFonts w:ascii="Times New Roman" w:hAnsi="Times New Roman" w:cs="Times New Roman"/>
          <w:iCs/>
          <w:sz w:val="24"/>
          <w:szCs w:val="24"/>
        </w:rPr>
        <w:t xml:space="preserve">had </w:t>
      </w:r>
      <w:r w:rsidR="007D6C17">
        <w:rPr>
          <w:rFonts w:ascii="Times New Roman" w:hAnsi="Times New Roman" w:cs="Times New Roman"/>
          <w:iCs/>
          <w:sz w:val="24"/>
          <w:szCs w:val="24"/>
        </w:rPr>
        <w:t>changed</w:t>
      </w:r>
      <w:r w:rsidR="001A2ED1">
        <w:rPr>
          <w:rFonts w:ascii="Times New Roman" w:hAnsi="Times New Roman" w:cs="Times New Roman"/>
          <w:iCs/>
          <w:sz w:val="24"/>
          <w:szCs w:val="24"/>
        </w:rPr>
        <w:t xml:space="preserve"> in the interim</w:t>
      </w:r>
      <w:r w:rsidR="007D6C17">
        <w:rPr>
          <w:rFonts w:ascii="Times New Roman" w:hAnsi="Times New Roman" w:cs="Times New Roman"/>
          <w:iCs/>
          <w:sz w:val="24"/>
          <w:szCs w:val="24"/>
        </w:rPr>
        <w:t>. He said</w:t>
      </w:r>
      <w:r w:rsidR="00FF5F12" w:rsidRPr="007D6C17">
        <w:rPr>
          <w:rFonts w:ascii="Times New Roman" w:hAnsi="Times New Roman" w:cs="Times New Roman"/>
          <w:iCs/>
          <w:sz w:val="24"/>
          <w:szCs w:val="24"/>
        </w:rPr>
        <w:t>:</w:t>
      </w:r>
    </w:p>
    <w:p w14:paraId="7274A2E5" w14:textId="445CA611" w:rsidR="00FF5F12" w:rsidRPr="004E57DF" w:rsidRDefault="00FF5F12" w:rsidP="003C2253">
      <w:pPr>
        <w:spacing w:after="0" w:line="240" w:lineRule="auto"/>
        <w:ind w:left="284"/>
        <w:jc w:val="both"/>
        <w:rPr>
          <w:rFonts w:ascii="Times New Roman" w:hAnsi="Times New Roman" w:cs="Times New Roman"/>
          <w:iCs/>
          <w:sz w:val="24"/>
          <w:szCs w:val="24"/>
        </w:rPr>
      </w:pPr>
      <w:r w:rsidRPr="004E57DF">
        <w:rPr>
          <w:rFonts w:ascii="Times New Roman" w:hAnsi="Times New Roman" w:cs="Times New Roman"/>
          <w:i/>
          <w:iCs/>
          <w:sz w:val="24"/>
          <w:szCs w:val="24"/>
        </w:rPr>
        <w:t>Rubin v Botha</w:t>
      </w:r>
      <w:r w:rsidRPr="004E57DF">
        <w:rPr>
          <w:rFonts w:ascii="Times New Roman" w:hAnsi="Times New Roman" w:cs="Times New Roman"/>
          <w:iCs/>
          <w:sz w:val="24"/>
          <w:szCs w:val="24"/>
        </w:rPr>
        <w:t xml:space="preserve">…”obliterated….the distinction between a </w:t>
      </w:r>
      <w:r w:rsidRPr="004E57DF">
        <w:rPr>
          <w:rFonts w:ascii="Times New Roman" w:hAnsi="Times New Roman" w:cs="Times New Roman"/>
          <w:i/>
          <w:iCs/>
          <w:sz w:val="24"/>
          <w:szCs w:val="24"/>
        </w:rPr>
        <w:t>bona fide</w:t>
      </w:r>
      <w:r w:rsidRPr="004E57DF">
        <w:rPr>
          <w:rFonts w:ascii="Times New Roman" w:hAnsi="Times New Roman" w:cs="Times New Roman"/>
          <w:iCs/>
          <w:sz w:val="24"/>
          <w:szCs w:val="24"/>
        </w:rPr>
        <w:t xml:space="preserve"> possessor and a </w:t>
      </w:r>
      <w:r w:rsidRPr="004E57DF">
        <w:rPr>
          <w:rFonts w:ascii="Times New Roman" w:hAnsi="Times New Roman" w:cs="Times New Roman"/>
          <w:i/>
          <w:iCs/>
          <w:sz w:val="24"/>
          <w:szCs w:val="24"/>
        </w:rPr>
        <w:t>bona fide</w:t>
      </w:r>
      <w:r w:rsidRPr="004E57DF">
        <w:rPr>
          <w:rFonts w:ascii="Times New Roman" w:hAnsi="Times New Roman" w:cs="Times New Roman"/>
          <w:iCs/>
          <w:sz w:val="24"/>
          <w:szCs w:val="24"/>
        </w:rPr>
        <w:t xml:space="preserve"> occupier who mistakenly believed that he was occupying under a lease, in so far as concerned the right to clai</w:t>
      </w:r>
      <w:r w:rsidR="004E57DF">
        <w:rPr>
          <w:rFonts w:ascii="Times New Roman" w:hAnsi="Times New Roman" w:cs="Times New Roman"/>
          <w:iCs/>
          <w:sz w:val="24"/>
          <w:szCs w:val="24"/>
        </w:rPr>
        <w:t>m compensation for improvements</w:t>
      </w:r>
      <w:r w:rsidR="009F2C9E">
        <w:rPr>
          <w:rStyle w:val="FootnoteReference"/>
          <w:rFonts w:ascii="Times New Roman" w:hAnsi="Times New Roman" w:cs="Times New Roman"/>
          <w:iCs/>
          <w:sz w:val="24"/>
          <w:szCs w:val="24"/>
        </w:rPr>
        <w:footnoteReference w:id="34"/>
      </w:r>
    </w:p>
    <w:p w14:paraId="7F9A21CD" w14:textId="77777777" w:rsidR="003C2253" w:rsidRDefault="003C2253" w:rsidP="00365A22">
      <w:pPr>
        <w:spacing w:after="0" w:line="360" w:lineRule="auto"/>
        <w:jc w:val="both"/>
        <w:rPr>
          <w:rFonts w:ascii="Times New Roman" w:hAnsi="Times New Roman" w:cs="Times New Roman"/>
          <w:i/>
          <w:iCs/>
          <w:sz w:val="24"/>
          <w:szCs w:val="24"/>
        </w:rPr>
      </w:pPr>
    </w:p>
    <w:p w14:paraId="570FA3FE" w14:textId="77777777" w:rsidR="006F0E43" w:rsidRDefault="00365A22" w:rsidP="00365A22">
      <w:pPr>
        <w:spacing w:after="0" w:line="360" w:lineRule="auto"/>
        <w:jc w:val="both"/>
        <w:rPr>
          <w:rFonts w:ascii="Times New Roman" w:hAnsi="Times New Roman" w:cs="Times New Roman"/>
          <w:iCs/>
          <w:sz w:val="24"/>
          <w:szCs w:val="24"/>
        </w:rPr>
      </w:pPr>
      <w:r w:rsidRPr="004E57DF">
        <w:rPr>
          <w:rFonts w:ascii="Times New Roman" w:hAnsi="Times New Roman" w:cs="Times New Roman"/>
          <w:i/>
          <w:iCs/>
          <w:sz w:val="24"/>
          <w:szCs w:val="24"/>
        </w:rPr>
        <w:t>Nortje v Pool</w:t>
      </w:r>
      <w:r w:rsidR="004E57DF" w:rsidRPr="006F0E43">
        <w:rPr>
          <w:rStyle w:val="FootnoteReference"/>
          <w:rFonts w:ascii="Times New Roman" w:hAnsi="Times New Roman" w:cs="Times New Roman"/>
          <w:iCs/>
          <w:sz w:val="24"/>
          <w:szCs w:val="24"/>
        </w:rPr>
        <w:footnoteReference w:id="35"/>
      </w:r>
      <w:r w:rsidRPr="006F0E43">
        <w:rPr>
          <w:rFonts w:ascii="Times New Roman" w:hAnsi="Times New Roman" w:cs="Times New Roman"/>
          <w:iCs/>
          <w:sz w:val="24"/>
          <w:szCs w:val="24"/>
        </w:rPr>
        <w:t xml:space="preserve"> </w:t>
      </w:r>
    </w:p>
    <w:p w14:paraId="0E131E1E" w14:textId="40F50D06" w:rsidR="00365A22" w:rsidRPr="00365A22" w:rsidRDefault="00365A22" w:rsidP="00365A22">
      <w:pPr>
        <w:spacing w:after="0" w:line="360" w:lineRule="auto"/>
        <w:jc w:val="both"/>
        <w:rPr>
          <w:rFonts w:ascii="Times New Roman" w:hAnsi="Times New Roman" w:cs="Times New Roman"/>
          <w:iCs/>
          <w:sz w:val="24"/>
          <w:szCs w:val="24"/>
        </w:rPr>
      </w:pPr>
      <w:r w:rsidRPr="00365A22">
        <w:rPr>
          <w:rFonts w:ascii="Times New Roman" w:hAnsi="Times New Roman" w:cs="Times New Roman"/>
          <w:iCs/>
          <w:sz w:val="24"/>
          <w:szCs w:val="24"/>
        </w:rPr>
        <w:t xml:space="preserve">Although the reasoning in </w:t>
      </w:r>
      <w:r w:rsidRPr="00365A22">
        <w:rPr>
          <w:rFonts w:ascii="Times New Roman" w:hAnsi="Times New Roman" w:cs="Times New Roman"/>
          <w:i/>
          <w:iCs/>
          <w:sz w:val="24"/>
          <w:szCs w:val="24"/>
        </w:rPr>
        <w:t>Rubin</w:t>
      </w:r>
      <w:r w:rsidRPr="00365A22">
        <w:rPr>
          <w:rFonts w:ascii="Times New Roman" w:hAnsi="Times New Roman" w:cs="Times New Roman"/>
          <w:iCs/>
          <w:sz w:val="24"/>
          <w:szCs w:val="24"/>
        </w:rPr>
        <w:t xml:space="preserve"> by analogy with good faith possession was </w:t>
      </w:r>
      <w:r w:rsidR="006F0E43">
        <w:rPr>
          <w:rFonts w:ascii="Times New Roman" w:hAnsi="Times New Roman" w:cs="Times New Roman"/>
          <w:iCs/>
          <w:sz w:val="24"/>
          <w:szCs w:val="24"/>
        </w:rPr>
        <w:t xml:space="preserve">conceptually </w:t>
      </w:r>
      <w:r w:rsidRPr="00365A22">
        <w:rPr>
          <w:rFonts w:ascii="Times New Roman" w:hAnsi="Times New Roman" w:cs="Times New Roman"/>
          <w:iCs/>
          <w:sz w:val="24"/>
          <w:szCs w:val="24"/>
        </w:rPr>
        <w:t xml:space="preserve">problematic, the correct result was reached. </w:t>
      </w:r>
      <w:r w:rsidR="003C2253">
        <w:rPr>
          <w:rFonts w:ascii="Times New Roman" w:hAnsi="Times New Roman" w:cs="Times New Roman"/>
          <w:iCs/>
          <w:sz w:val="24"/>
          <w:szCs w:val="24"/>
        </w:rPr>
        <w:t>Arguably t</w:t>
      </w:r>
      <w:r w:rsidR="00815F1C">
        <w:rPr>
          <w:rFonts w:ascii="Times New Roman" w:hAnsi="Times New Roman" w:cs="Times New Roman"/>
          <w:iCs/>
          <w:sz w:val="24"/>
          <w:szCs w:val="24"/>
        </w:rPr>
        <w:t>his</w:t>
      </w:r>
      <w:r w:rsidRPr="00365A22">
        <w:rPr>
          <w:rFonts w:ascii="Times New Roman" w:hAnsi="Times New Roman" w:cs="Times New Roman"/>
          <w:iCs/>
          <w:sz w:val="24"/>
          <w:szCs w:val="24"/>
        </w:rPr>
        <w:t xml:space="preserve"> was not the case in </w:t>
      </w:r>
      <w:r w:rsidRPr="00365A22">
        <w:rPr>
          <w:rFonts w:ascii="Times New Roman" w:hAnsi="Times New Roman" w:cs="Times New Roman"/>
          <w:i/>
          <w:iCs/>
          <w:sz w:val="24"/>
          <w:szCs w:val="24"/>
        </w:rPr>
        <w:t>Nortje v Pool</w:t>
      </w:r>
      <w:r w:rsidRPr="00365A22">
        <w:rPr>
          <w:rFonts w:ascii="Times New Roman" w:hAnsi="Times New Roman" w:cs="Times New Roman"/>
          <w:iCs/>
          <w:sz w:val="24"/>
          <w:szCs w:val="24"/>
        </w:rPr>
        <w:t xml:space="preserve">. P </w:t>
      </w:r>
      <w:r w:rsidR="006F0E43">
        <w:rPr>
          <w:rFonts w:ascii="Times New Roman" w:hAnsi="Times New Roman" w:cs="Times New Roman"/>
          <w:iCs/>
          <w:sz w:val="24"/>
          <w:szCs w:val="24"/>
        </w:rPr>
        <w:t>concluded a prospecting</w:t>
      </w:r>
      <w:r w:rsidRPr="00365A22">
        <w:rPr>
          <w:rFonts w:ascii="Times New Roman" w:hAnsi="Times New Roman" w:cs="Times New Roman"/>
          <w:iCs/>
          <w:sz w:val="24"/>
          <w:szCs w:val="24"/>
        </w:rPr>
        <w:t xml:space="preserve"> contract with the owner (D) of</w:t>
      </w:r>
      <w:r w:rsidR="00815F1C">
        <w:rPr>
          <w:rFonts w:ascii="Times New Roman" w:hAnsi="Times New Roman" w:cs="Times New Roman"/>
          <w:iCs/>
          <w:sz w:val="24"/>
          <w:szCs w:val="24"/>
        </w:rPr>
        <w:t xml:space="preserve"> some land to search for kaolin</w:t>
      </w:r>
      <w:r w:rsidR="006F0E43">
        <w:rPr>
          <w:rFonts w:ascii="Times New Roman" w:hAnsi="Times New Roman" w:cs="Times New Roman"/>
          <w:iCs/>
          <w:sz w:val="24"/>
          <w:szCs w:val="24"/>
        </w:rPr>
        <w:t>. T</w:t>
      </w:r>
      <w:r w:rsidR="00815F1C">
        <w:rPr>
          <w:rFonts w:ascii="Times New Roman" w:hAnsi="Times New Roman" w:cs="Times New Roman"/>
          <w:iCs/>
          <w:sz w:val="24"/>
          <w:szCs w:val="24"/>
        </w:rPr>
        <w:t xml:space="preserve">he contract was expressed in a written document. </w:t>
      </w:r>
      <w:r w:rsidRPr="00365A22">
        <w:rPr>
          <w:rFonts w:ascii="Times New Roman" w:hAnsi="Times New Roman" w:cs="Times New Roman"/>
          <w:iCs/>
          <w:sz w:val="24"/>
          <w:szCs w:val="24"/>
        </w:rPr>
        <w:t xml:space="preserve"> In the event of kaolin being found P was to have the exclusive right to exploit it. The land increased in value by </w:t>
      </w:r>
      <w:r w:rsidR="00815F1C">
        <w:rPr>
          <w:rFonts w:ascii="Times New Roman" w:hAnsi="Times New Roman" w:cs="Times New Roman"/>
          <w:iCs/>
          <w:sz w:val="24"/>
          <w:szCs w:val="24"/>
        </w:rPr>
        <w:t>R</w:t>
      </w:r>
      <w:r w:rsidRPr="00365A22">
        <w:rPr>
          <w:rFonts w:ascii="Times New Roman" w:hAnsi="Times New Roman" w:cs="Times New Roman"/>
          <w:iCs/>
          <w:sz w:val="24"/>
          <w:szCs w:val="24"/>
        </w:rPr>
        <w:t xml:space="preserve">15,000 as a result of the discovery of kaolin by P but the contract was found to be void for lack of certification by a notary. The reasoning of the court proceeded </w:t>
      </w:r>
      <w:r w:rsidR="00815F1C">
        <w:rPr>
          <w:rFonts w:ascii="Times New Roman" w:hAnsi="Times New Roman" w:cs="Times New Roman"/>
          <w:iCs/>
          <w:sz w:val="24"/>
          <w:szCs w:val="24"/>
        </w:rPr>
        <w:t>on</w:t>
      </w:r>
      <w:r w:rsidRPr="00365A22">
        <w:rPr>
          <w:rFonts w:ascii="Times New Roman" w:hAnsi="Times New Roman" w:cs="Times New Roman"/>
          <w:iCs/>
          <w:sz w:val="24"/>
          <w:szCs w:val="24"/>
        </w:rPr>
        <w:t xml:space="preserve"> the analogy of the good faith possessor/improver. P were conceived to be </w:t>
      </w:r>
      <w:r w:rsidRPr="00365A22">
        <w:rPr>
          <w:rFonts w:ascii="Times New Roman" w:hAnsi="Times New Roman" w:cs="Times New Roman"/>
          <w:i/>
          <w:iCs/>
          <w:sz w:val="24"/>
          <w:szCs w:val="24"/>
        </w:rPr>
        <w:t>bona fide</w:t>
      </w:r>
      <w:r w:rsidRPr="00365A22">
        <w:rPr>
          <w:rFonts w:ascii="Times New Roman" w:hAnsi="Times New Roman" w:cs="Times New Roman"/>
          <w:iCs/>
          <w:sz w:val="24"/>
          <w:szCs w:val="24"/>
        </w:rPr>
        <w:t xml:space="preserve"> occupiers who, on the authority of </w:t>
      </w:r>
      <w:r w:rsidRPr="00365A22">
        <w:rPr>
          <w:rFonts w:ascii="Times New Roman" w:hAnsi="Times New Roman" w:cs="Times New Roman"/>
          <w:i/>
          <w:iCs/>
          <w:sz w:val="24"/>
          <w:szCs w:val="24"/>
        </w:rPr>
        <w:t>Rubin</w:t>
      </w:r>
      <w:r w:rsidRPr="00365A22">
        <w:rPr>
          <w:rFonts w:ascii="Times New Roman" w:hAnsi="Times New Roman" w:cs="Times New Roman"/>
          <w:iCs/>
          <w:sz w:val="24"/>
          <w:szCs w:val="24"/>
        </w:rPr>
        <w:t xml:space="preserve">, were seen to have a claim for improvements as a matter of principle. But, in a finely balanced majority decision, because there had been no tangible improvement of the land as was required of a good faith possessor, only expenditure and effort by P that increased the value of the land, there was held to be no claim by the plaintiffs for the recovery of their expenses. The facts in </w:t>
      </w:r>
      <w:r w:rsidRPr="00365A22">
        <w:rPr>
          <w:rFonts w:ascii="Times New Roman" w:hAnsi="Times New Roman" w:cs="Times New Roman"/>
          <w:i/>
          <w:iCs/>
          <w:sz w:val="24"/>
          <w:szCs w:val="24"/>
        </w:rPr>
        <w:t>Nortje</w:t>
      </w:r>
      <w:r w:rsidRPr="00365A22">
        <w:rPr>
          <w:rFonts w:ascii="Times New Roman" w:hAnsi="Times New Roman" w:cs="Times New Roman"/>
          <w:iCs/>
          <w:sz w:val="24"/>
          <w:szCs w:val="24"/>
        </w:rPr>
        <w:t xml:space="preserve"> in respect of the cause of action seem to </w:t>
      </w:r>
      <w:r w:rsidR="006F0E43">
        <w:rPr>
          <w:rFonts w:ascii="Times New Roman" w:hAnsi="Times New Roman" w:cs="Times New Roman"/>
          <w:iCs/>
          <w:sz w:val="24"/>
          <w:szCs w:val="24"/>
        </w:rPr>
        <w:t xml:space="preserve">be </w:t>
      </w:r>
      <w:r w:rsidR="00902DCA">
        <w:rPr>
          <w:rFonts w:ascii="Times New Roman" w:hAnsi="Times New Roman" w:cs="Times New Roman"/>
          <w:iCs/>
          <w:sz w:val="24"/>
          <w:szCs w:val="24"/>
        </w:rPr>
        <w:t xml:space="preserve">similar, if not identical, to </w:t>
      </w:r>
      <w:r w:rsidRPr="00365A22">
        <w:rPr>
          <w:rFonts w:ascii="Times New Roman" w:hAnsi="Times New Roman" w:cs="Times New Roman"/>
          <w:iCs/>
          <w:sz w:val="24"/>
          <w:szCs w:val="24"/>
        </w:rPr>
        <w:t xml:space="preserve">those in </w:t>
      </w:r>
      <w:r w:rsidRPr="00365A22">
        <w:rPr>
          <w:rFonts w:ascii="Times New Roman" w:hAnsi="Times New Roman" w:cs="Times New Roman"/>
          <w:i/>
          <w:iCs/>
          <w:sz w:val="24"/>
          <w:szCs w:val="24"/>
        </w:rPr>
        <w:t>Rubin</w:t>
      </w:r>
      <w:r w:rsidRPr="00365A22">
        <w:rPr>
          <w:rFonts w:ascii="Times New Roman" w:hAnsi="Times New Roman" w:cs="Times New Roman"/>
          <w:iCs/>
          <w:sz w:val="24"/>
          <w:szCs w:val="24"/>
        </w:rPr>
        <w:t>.</w:t>
      </w:r>
      <w:r w:rsidR="00467D5C">
        <w:rPr>
          <w:rFonts w:ascii="Times New Roman" w:hAnsi="Times New Roman" w:cs="Times New Roman"/>
          <w:iCs/>
          <w:sz w:val="24"/>
          <w:szCs w:val="24"/>
        </w:rPr>
        <w:t xml:space="preserve"> A</w:t>
      </w:r>
      <w:r w:rsidR="00F36F8F">
        <w:rPr>
          <w:rFonts w:ascii="Times New Roman" w:hAnsi="Times New Roman" w:cs="Times New Roman"/>
          <w:iCs/>
          <w:sz w:val="24"/>
          <w:szCs w:val="24"/>
        </w:rPr>
        <w:t>lthough a</w:t>
      </w:r>
      <w:r w:rsidR="00467D5C">
        <w:rPr>
          <w:rFonts w:ascii="Times New Roman" w:hAnsi="Times New Roman" w:cs="Times New Roman"/>
          <w:iCs/>
          <w:sz w:val="24"/>
          <w:szCs w:val="24"/>
        </w:rPr>
        <w:t xml:space="preserve"> distinction </w:t>
      </w:r>
      <w:r w:rsidR="00F36F8F">
        <w:rPr>
          <w:rFonts w:ascii="Times New Roman" w:hAnsi="Times New Roman" w:cs="Times New Roman"/>
          <w:iCs/>
          <w:sz w:val="24"/>
          <w:szCs w:val="24"/>
        </w:rPr>
        <w:t xml:space="preserve">between the two cases can </w:t>
      </w:r>
      <w:r w:rsidR="006F0E43">
        <w:rPr>
          <w:rFonts w:ascii="Times New Roman" w:hAnsi="Times New Roman" w:cs="Times New Roman"/>
          <w:iCs/>
          <w:sz w:val="24"/>
          <w:szCs w:val="24"/>
        </w:rPr>
        <w:t xml:space="preserve">perhaps </w:t>
      </w:r>
      <w:r w:rsidR="00F36F8F">
        <w:rPr>
          <w:rFonts w:ascii="Times New Roman" w:hAnsi="Times New Roman" w:cs="Times New Roman"/>
          <w:iCs/>
          <w:sz w:val="24"/>
          <w:szCs w:val="24"/>
        </w:rPr>
        <w:t>be drawn</w:t>
      </w:r>
      <w:r w:rsidR="00467D5C">
        <w:rPr>
          <w:rFonts w:ascii="Times New Roman" w:hAnsi="Times New Roman" w:cs="Times New Roman"/>
          <w:iCs/>
          <w:sz w:val="24"/>
          <w:szCs w:val="24"/>
        </w:rPr>
        <w:t xml:space="preserve"> on the basis that in </w:t>
      </w:r>
      <w:r w:rsidR="00467D5C" w:rsidRPr="0041533C">
        <w:rPr>
          <w:rFonts w:ascii="Times New Roman" w:hAnsi="Times New Roman" w:cs="Times New Roman"/>
          <w:i/>
          <w:iCs/>
          <w:sz w:val="24"/>
          <w:szCs w:val="24"/>
        </w:rPr>
        <w:t>Rubin</w:t>
      </w:r>
      <w:r w:rsidR="00467D5C">
        <w:rPr>
          <w:rFonts w:ascii="Times New Roman" w:hAnsi="Times New Roman" w:cs="Times New Roman"/>
          <w:iCs/>
          <w:sz w:val="24"/>
          <w:szCs w:val="24"/>
        </w:rPr>
        <w:t xml:space="preserve"> the plaintiff was acting in order to discharge an obligation </w:t>
      </w:r>
      <w:r w:rsidR="00F36F8F">
        <w:rPr>
          <w:rFonts w:ascii="Times New Roman" w:hAnsi="Times New Roman" w:cs="Times New Roman"/>
          <w:iCs/>
          <w:sz w:val="24"/>
          <w:szCs w:val="24"/>
        </w:rPr>
        <w:t>unlike</w:t>
      </w:r>
      <w:r w:rsidR="00467D5C">
        <w:rPr>
          <w:rFonts w:ascii="Times New Roman" w:hAnsi="Times New Roman" w:cs="Times New Roman"/>
          <w:iCs/>
          <w:sz w:val="24"/>
          <w:szCs w:val="24"/>
        </w:rPr>
        <w:t xml:space="preserve"> in </w:t>
      </w:r>
      <w:r w:rsidR="00467D5C" w:rsidRPr="0019687C">
        <w:rPr>
          <w:rFonts w:ascii="Times New Roman" w:hAnsi="Times New Roman"/>
          <w:i/>
          <w:sz w:val="24"/>
        </w:rPr>
        <w:t>Nortje</w:t>
      </w:r>
      <w:r w:rsidR="00F36F8F">
        <w:rPr>
          <w:rFonts w:ascii="Times New Roman" w:hAnsi="Times New Roman" w:cs="Times New Roman"/>
          <w:iCs/>
          <w:sz w:val="24"/>
          <w:szCs w:val="24"/>
        </w:rPr>
        <w:t>.</w:t>
      </w:r>
      <w:r w:rsidR="001E590D">
        <w:rPr>
          <w:rStyle w:val="FootnoteReference"/>
          <w:rFonts w:ascii="Times New Roman" w:hAnsi="Times New Roman" w:cs="Times New Roman"/>
          <w:iCs/>
          <w:sz w:val="24"/>
          <w:szCs w:val="24"/>
        </w:rPr>
        <w:footnoteReference w:id="36"/>
      </w:r>
      <w:r w:rsidR="00F36F8F">
        <w:rPr>
          <w:rFonts w:ascii="Times New Roman" w:hAnsi="Times New Roman" w:cs="Times New Roman"/>
          <w:iCs/>
          <w:sz w:val="24"/>
          <w:szCs w:val="24"/>
        </w:rPr>
        <w:t xml:space="preserve"> Both cases are nonetheless </w:t>
      </w:r>
      <w:r w:rsidR="00F36F8F" w:rsidRPr="001E590D">
        <w:rPr>
          <w:rFonts w:ascii="Times New Roman" w:hAnsi="Times New Roman" w:cs="Times New Roman"/>
          <w:i/>
          <w:iCs/>
          <w:sz w:val="24"/>
          <w:szCs w:val="24"/>
        </w:rPr>
        <w:t>condictio</w:t>
      </w:r>
      <w:r w:rsidR="00F36F8F">
        <w:rPr>
          <w:rFonts w:ascii="Times New Roman" w:hAnsi="Times New Roman" w:cs="Times New Roman"/>
          <w:iCs/>
          <w:sz w:val="24"/>
          <w:szCs w:val="24"/>
        </w:rPr>
        <w:t xml:space="preserve"> claims</w:t>
      </w:r>
      <w:r w:rsidR="00467D5C">
        <w:rPr>
          <w:rFonts w:ascii="Times New Roman" w:hAnsi="Times New Roman" w:cs="Times New Roman"/>
          <w:iCs/>
          <w:sz w:val="24"/>
          <w:szCs w:val="24"/>
        </w:rPr>
        <w:t>.</w:t>
      </w:r>
      <w:r w:rsidR="00F36F8F">
        <w:rPr>
          <w:rFonts w:ascii="Times New Roman" w:hAnsi="Times New Roman" w:cs="Times New Roman"/>
          <w:iCs/>
          <w:sz w:val="24"/>
          <w:szCs w:val="24"/>
        </w:rPr>
        <w:t xml:space="preserve"> It </w:t>
      </w:r>
      <w:r w:rsidR="006F0E43">
        <w:rPr>
          <w:rFonts w:ascii="Times New Roman" w:hAnsi="Times New Roman" w:cs="Times New Roman"/>
          <w:iCs/>
          <w:sz w:val="24"/>
          <w:szCs w:val="24"/>
        </w:rPr>
        <w:t xml:space="preserve">may be argued </w:t>
      </w:r>
      <w:r w:rsidR="00F36F8F">
        <w:rPr>
          <w:rFonts w:ascii="Times New Roman" w:hAnsi="Times New Roman" w:cs="Times New Roman"/>
          <w:iCs/>
          <w:sz w:val="24"/>
          <w:szCs w:val="24"/>
        </w:rPr>
        <w:t xml:space="preserve">that in </w:t>
      </w:r>
      <w:r w:rsidR="00467D5C" w:rsidRPr="0041533C">
        <w:rPr>
          <w:rFonts w:ascii="Times New Roman" w:hAnsi="Times New Roman" w:cs="Times New Roman"/>
          <w:i/>
          <w:iCs/>
          <w:sz w:val="24"/>
          <w:szCs w:val="24"/>
        </w:rPr>
        <w:t>Nortje</w:t>
      </w:r>
      <w:r w:rsidR="00467D5C">
        <w:rPr>
          <w:rFonts w:ascii="Times New Roman" w:hAnsi="Times New Roman" w:cs="Times New Roman"/>
          <w:iCs/>
          <w:sz w:val="24"/>
          <w:szCs w:val="24"/>
        </w:rPr>
        <w:t xml:space="preserve">, like in </w:t>
      </w:r>
      <w:r w:rsidR="00467D5C" w:rsidRPr="0041533C">
        <w:rPr>
          <w:rFonts w:ascii="Times New Roman" w:hAnsi="Times New Roman" w:cs="Times New Roman"/>
          <w:i/>
          <w:iCs/>
          <w:sz w:val="24"/>
          <w:szCs w:val="24"/>
        </w:rPr>
        <w:t>Virdee</w:t>
      </w:r>
      <w:r w:rsidR="00467D5C">
        <w:rPr>
          <w:rFonts w:ascii="Times New Roman" w:hAnsi="Times New Roman" w:cs="Times New Roman"/>
          <w:iCs/>
          <w:sz w:val="24"/>
          <w:szCs w:val="24"/>
        </w:rPr>
        <w:t xml:space="preserve">, the claimant was acting on the basis of an </w:t>
      </w:r>
      <w:r w:rsidR="00F36F8F">
        <w:rPr>
          <w:rFonts w:ascii="Times New Roman" w:hAnsi="Times New Roman" w:cs="Times New Roman"/>
          <w:iCs/>
          <w:sz w:val="24"/>
          <w:szCs w:val="24"/>
        </w:rPr>
        <w:t>agreement</w:t>
      </w:r>
      <w:r w:rsidR="0041533C">
        <w:rPr>
          <w:rFonts w:ascii="Times New Roman" w:hAnsi="Times New Roman" w:cs="Times New Roman"/>
          <w:iCs/>
          <w:sz w:val="24"/>
          <w:szCs w:val="24"/>
        </w:rPr>
        <w:t>,</w:t>
      </w:r>
      <w:r w:rsidR="00F36F8F">
        <w:rPr>
          <w:rFonts w:ascii="Times New Roman" w:hAnsi="Times New Roman" w:cs="Times New Roman"/>
          <w:iCs/>
          <w:sz w:val="24"/>
          <w:szCs w:val="24"/>
        </w:rPr>
        <w:t xml:space="preserve"> creating the expectation of a future right</w:t>
      </w:r>
      <w:r w:rsidR="0041533C">
        <w:rPr>
          <w:rFonts w:ascii="Times New Roman" w:hAnsi="Times New Roman" w:cs="Times New Roman"/>
          <w:iCs/>
          <w:sz w:val="24"/>
          <w:szCs w:val="24"/>
        </w:rPr>
        <w:t>,</w:t>
      </w:r>
      <w:r w:rsidR="00F36F8F">
        <w:rPr>
          <w:rFonts w:ascii="Times New Roman" w:hAnsi="Times New Roman" w:cs="Times New Roman"/>
          <w:iCs/>
          <w:sz w:val="24"/>
          <w:szCs w:val="24"/>
        </w:rPr>
        <w:t xml:space="preserve"> which failed rather than in order to discharge an existing obligation.</w:t>
      </w:r>
      <w:r w:rsidR="00902DCA">
        <w:rPr>
          <w:rFonts w:ascii="Times New Roman" w:hAnsi="Times New Roman" w:cs="Times New Roman"/>
          <w:iCs/>
          <w:sz w:val="24"/>
          <w:szCs w:val="24"/>
        </w:rPr>
        <w:t xml:space="preserve"> On a </w:t>
      </w:r>
      <w:r w:rsidR="00902DCA" w:rsidRPr="00902DCA">
        <w:rPr>
          <w:rFonts w:ascii="Times New Roman" w:hAnsi="Times New Roman" w:cs="Times New Roman"/>
          <w:i/>
          <w:iCs/>
          <w:sz w:val="24"/>
          <w:szCs w:val="24"/>
        </w:rPr>
        <w:t>condictio</w:t>
      </w:r>
      <w:r w:rsidR="00902DCA">
        <w:rPr>
          <w:rFonts w:ascii="Times New Roman" w:hAnsi="Times New Roman" w:cs="Times New Roman"/>
          <w:iCs/>
          <w:sz w:val="24"/>
          <w:szCs w:val="24"/>
        </w:rPr>
        <w:t xml:space="preserve"> analysis</w:t>
      </w:r>
      <w:r w:rsidRPr="00365A22">
        <w:rPr>
          <w:rFonts w:ascii="Times New Roman" w:hAnsi="Times New Roman" w:cs="Times New Roman"/>
          <w:iCs/>
          <w:sz w:val="24"/>
          <w:szCs w:val="24"/>
        </w:rPr>
        <w:t xml:space="preserve"> </w:t>
      </w:r>
      <w:r w:rsidR="00902DCA">
        <w:rPr>
          <w:rFonts w:ascii="Times New Roman" w:hAnsi="Times New Roman" w:cs="Times New Roman"/>
          <w:iCs/>
          <w:sz w:val="24"/>
          <w:szCs w:val="24"/>
        </w:rPr>
        <w:t>o</w:t>
      </w:r>
      <w:r w:rsidRPr="00365A22">
        <w:rPr>
          <w:rFonts w:ascii="Times New Roman" w:hAnsi="Times New Roman" w:cs="Times New Roman"/>
          <w:iCs/>
          <w:sz w:val="24"/>
          <w:szCs w:val="24"/>
        </w:rPr>
        <w:t xml:space="preserve">ne can conceive </w:t>
      </w:r>
      <w:r w:rsidR="0041533C">
        <w:rPr>
          <w:rFonts w:ascii="Times New Roman" w:hAnsi="Times New Roman" w:cs="Times New Roman"/>
          <w:iCs/>
          <w:sz w:val="24"/>
          <w:szCs w:val="24"/>
        </w:rPr>
        <w:t xml:space="preserve">of </w:t>
      </w:r>
      <w:r w:rsidRPr="00365A22">
        <w:rPr>
          <w:rFonts w:ascii="Times New Roman" w:hAnsi="Times New Roman" w:cs="Times New Roman"/>
          <w:iCs/>
          <w:sz w:val="24"/>
          <w:szCs w:val="24"/>
        </w:rPr>
        <w:t>the defendant (Pool) as having been enriched by the receipt, not of improvements as such, but of the value of the prospecting service which he must give back.</w:t>
      </w:r>
    </w:p>
    <w:p w14:paraId="0E772C62" w14:textId="6431E051" w:rsidR="00365A22" w:rsidRPr="00365A22" w:rsidRDefault="00060812" w:rsidP="00365A22">
      <w:pPr>
        <w:spacing w:after="0"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(2) </w:t>
      </w:r>
      <w:r w:rsidR="00365A22" w:rsidRPr="00365A22">
        <w:rPr>
          <w:rFonts w:ascii="Times New Roman" w:hAnsi="Times New Roman" w:cs="Times New Roman"/>
          <w:i/>
          <w:iCs/>
          <w:sz w:val="24"/>
          <w:szCs w:val="24"/>
        </w:rPr>
        <w:t>Summary</w:t>
      </w:r>
    </w:p>
    <w:p w14:paraId="0CEE6A05" w14:textId="172DAAC2" w:rsidR="00365A22" w:rsidRDefault="00365A22" w:rsidP="00365A22">
      <w:pPr>
        <w:spacing w:after="0" w:line="360" w:lineRule="auto"/>
        <w:jc w:val="both"/>
        <w:rPr>
          <w:rFonts w:ascii="Times New Roman" w:hAnsi="Times New Roman" w:cs="Times New Roman"/>
          <w:iCs/>
          <w:sz w:val="24"/>
          <w:szCs w:val="24"/>
        </w:rPr>
      </w:pPr>
      <w:r w:rsidRPr="00365A22">
        <w:rPr>
          <w:rFonts w:ascii="Times New Roman" w:hAnsi="Times New Roman" w:cs="Times New Roman"/>
          <w:bCs/>
          <w:i/>
          <w:iCs/>
          <w:sz w:val="24"/>
          <w:szCs w:val="24"/>
        </w:rPr>
        <w:t xml:space="preserve">Rubin </w:t>
      </w:r>
      <w:r w:rsidRPr="00365A22">
        <w:rPr>
          <w:rFonts w:ascii="Times New Roman" w:hAnsi="Times New Roman" w:cs="Times New Roman"/>
          <w:bCs/>
          <w:iCs/>
          <w:sz w:val="24"/>
          <w:szCs w:val="24"/>
        </w:rPr>
        <w:t xml:space="preserve">is the foundational authority in South Africa for the extension by analogy of </w:t>
      </w:r>
      <w:r w:rsidR="00C20FCF">
        <w:rPr>
          <w:rFonts w:ascii="Times New Roman" w:hAnsi="Times New Roman" w:cs="Times New Roman"/>
          <w:bCs/>
          <w:iCs/>
          <w:sz w:val="24"/>
          <w:szCs w:val="24"/>
        </w:rPr>
        <w:t>an enrichment claim</w:t>
      </w:r>
      <w:r w:rsidRPr="00365A22">
        <w:rPr>
          <w:rFonts w:ascii="Times New Roman" w:hAnsi="Times New Roman" w:cs="Times New Roman"/>
          <w:bCs/>
          <w:iCs/>
          <w:sz w:val="24"/>
          <w:szCs w:val="24"/>
        </w:rPr>
        <w:t xml:space="preserve"> from the good faith possessor</w:t>
      </w:r>
      <w:r w:rsidR="00C20FCF">
        <w:rPr>
          <w:rFonts w:ascii="Times New Roman" w:hAnsi="Times New Roman" w:cs="Times New Roman"/>
          <w:bCs/>
          <w:iCs/>
          <w:sz w:val="24"/>
          <w:szCs w:val="24"/>
        </w:rPr>
        <w:t>/improver</w:t>
      </w:r>
      <w:r w:rsidRPr="00365A22">
        <w:rPr>
          <w:rFonts w:ascii="Times New Roman" w:hAnsi="Times New Roman" w:cs="Times New Roman"/>
          <w:bCs/>
          <w:iCs/>
          <w:sz w:val="24"/>
          <w:szCs w:val="24"/>
        </w:rPr>
        <w:t xml:space="preserve"> to the good faith occupier. T</w:t>
      </w:r>
      <w:r w:rsidRPr="00365A22">
        <w:rPr>
          <w:rFonts w:ascii="Times New Roman" w:hAnsi="Times New Roman" w:cs="Times New Roman"/>
          <w:iCs/>
          <w:sz w:val="24"/>
          <w:szCs w:val="24"/>
        </w:rPr>
        <w:t>he analogy seems misconceived</w:t>
      </w:r>
      <w:r w:rsidR="00902DCA">
        <w:rPr>
          <w:rFonts w:ascii="Times New Roman" w:hAnsi="Times New Roman" w:cs="Times New Roman"/>
          <w:iCs/>
          <w:sz w:val="24"/>
          <w:szCs w:val="24"/>
        </w:rPr>
        <w:t xml:space="preserve">. </w:t>
      </w:r>
      <w:r w:rsidR="00A16E51">
        <w:rPr>
          <w:rFonts w:ascii="Times New Roman" w:hAnsi="Times New Roman" w:cs="Times New Roman"/>
          <w:iCs/>
          <w:sz w:val="24"/>
          <w:szCs w:val="24"/>
        </w:rPr>
        <w:t xml:space="preserve">It may have occurred because </w:t>
      </w:r>
      <w:r w:rsidR="00AC2440">
        <w:rPr>
          <w:rFonts w:ascii="Times New Roman" w:hAnsi="Times New Roman" w:cs="Times New Roman"/>
          <w:iCs/>
          <w:sz w:val="24"/>
          <w:szCs w:val="24"/>
        </w:rPr>
        <w:t xml:space="preserve">the facts </w:t>
      </w:r>
      <w:r w:rsidR="008061F9">
        <w:rPr>
          <w:rFonts w:ascii="Times New Roman" w:hAnsi="Times New Roman" w:cs="Times New Roman"/>
          <w:iCs/>
          <w:sz w:val="24"/>
          <w:szCs w:val="24"/>
        </w:rPr>
        <w:t xml:space="preserve">could not </w:t>
      </w:r>
      <w:r w:rsidR="00902DCA">
        <w:rPr>
          <w:rFonts w:ascii="Times New Roman" w:hAnsi="Times New Roman" w:cs="Times New Roman"/>
          <w:iCs/>
          <w:sz w:val="24"/>
          <w:szCs w:val="24"/>
        </w:rPr>
        <w:t>be treated</w:t>
      </w:r>
      <w:r w:rsidR="008061F9">
        <w:rPr>
          <w:rFonts w:ascii="Times New Roman" w:hAnsi="Times New Roman" w:cs="Times New Roman"/>
          <w:iCs/>
          <w:sz w:val="24"/>
          <w:szCs w:val="24"/>
        </w:rPr>
        <w:t xml:space="preserve"> </w:t>
      </w:r>
      <w:r w:rsidR="00C20FCF">
        <w:rPr>
          <w:rFonts w:ascii="Times New Roman" w:hAnsi="Times New Roman" w:cs="Times New Roman"/>
          <w:iCs/>
          <w:sz w:val="24"/>
          <w:szCs w:val="24"/>
        </w:rPr>
        <w:t>as the</w:t>
      </w:r>
      <w:r w:rsidR="00902DCA">
        <w:rPr>
          <w:rFonts w:ascii="Times New Roman" w:hAnsi="Times New Roman" w:cs="Times New Roman"/>
          <w:iCs/>
          <w:sz w:val="24"/>
          <w:szCs w:val="24"/>
        </w:rPr>
        <w:t xml:space="preserve"> expression of a </w:t>
      </w:r>
      <w:r w:rsidR="00902DCA" w:rsidRPr="00C20FCF">
        <w:rPr>
          <w:rFonts w:ascii="Times New Roman" w:hAnsi="Times New Roman" w:cs="Times New Roman"/>
          <w:i/>
          <w:iCs/>
          <w:sz w:val="24"/>
          <w:szCs w:val="24"/>
        </w:rPr>
        <w:t xml:space="preserve">condictio </w:t>
      </w:r>
      <w:r w:rsidR="00902DCA">
        <w:rPr>
          <w:rFonts w:ascii="Times New Roman" w:hAnsi="Times New Roman" w:cs="Times New Roman"/>
          <w:iCs/>
          <w:sz w:val="24"/>
          <w:szCs w:val="24"/>
        </w:rPr>
        <w:t>cause of action</w:t>
      </w:r>
      <w:r w:rsidR="008061F9">
        <w:rPr>
          <w:rFonts w:ascii="Times New Roman" w:hAnsi="Times New Roman" w:cs="Times New Roman"/>
          <w:iCs/>
          <w:sz w:val="24"/>
          <w:szCs w:val="24"/>
        </w:rPr>
        <w:t xml:space="preserve"> because of the </w:t>
      </w:r>
      <w:r w:rsidR="008061F9" w:rsidRPr="008061F9">
        <w:rPr>
          <w:rFonts w:ascii="Times New Roman" w:hAnsi="Times New Roman" w:cs="Times New Roman"/>
          <w:i/>
          <w:iCs/>
          <w:sz w:val="24"/>
          <w:szCs w:val="24"/>
        </w:rPr>
        <w:t>certum</w:t>
      </w:r>
      <w:r w:rsidR="008061F9">
        <w:rPr>
          <w:rFonts w:ascii="Times New Roman" w:hAnsi="Times New Roman" w:cs="Times New Roman"/>
          <w:iCs/>
          <w:sz w:val="24"/>
          <w:szCs w:val="24"/>
        </w:rPr>
        <w:t xml:space="preserve"> restriction</w:t>
      </w:r>
      <w:r w:rsidR="00001EAF">
        <w:rPr>
          <w:rFonts w:ascii="Times New Roman" w:hAnsi="Times New Roman" w:cs="Times New Roman"/>
          <w:iCs/>
          <w:sz w:val="24"/>
          <w:szCs w:val="24"/>
        </w:rPr>
        <w:t xml:space="preserve"> and the mistake of law bar</w:t>
      </w:r>
      <w:r w:rsidR="008061F9">
        <w:rPr>
          <w:rFonts w:ascii="Times New Roman" w:hAnsi="Times New Roman" w:cs="Times New Roman"/>
          <w:iCs/>
          <w:sz w:val="24"/>
          <w:szCs w:val="24"/>
        </w:rPr>
        <w:t>.</w:t>
      </w:r>
      <w:r w:rsidR="00902DCA">
        <w:rPr>
          <w:rFonts w:ascii="Times New Roman" w:hAnsi="Times New Roman" w:cs="Times New Roman"/>
          <w:iCs/>
          <w:sz w:val="24"/>
          <w:szCs w:val="24"/>
        </w:rPr>
        <w:t xml:space="preserve"> </w:t>
      </w:r>
      <w:r w:rsidR="00A16E51">
        <w:rPr>
          <w:rFonts w:ascii="Times New Roman" w:hAnsi="Times New Roman" w:cs="Times New Roman"/>
          <w:iCs/>
          <w:sz w:val="24"/>
          <w:szCs w:val="24"/>
        </w:rPr>
        <w:t xml:space="preserve">However, there is no </w:t>
      </w:r>
      <w:r w:rsidR="008061F9">
        <w:rPr>
          <w:rFonts w:ascii="Times New Roman" w:hAnsi="Times New Roman" w:cs="Times New Roman"/>
          <w:iCs/>
          <w:sz w:val="24"/>
          <w:szCs w:val="24"/>
        </w:rPr>
        <w:t xml:space="preserve">reference to </w:t>
      </w:r>
      <w:r w:rsidR="00942A10">
        <w:rPr>
          <w:rFonts w:ascii="Times New Roman" w:hAnsi="Times New Roman" w:cs="Times New Roman"/>
          <w:iCs/>
          <w:sz w:val="24"/>
          <w:szCs w:val="24"/>
        </w:rPr>
        <w:t>such restriction</w:t>
      </w:r>
      <w:r w:rsidR="00001EAF">
        <w:rPr>
          <w:rFonts w:ascii="Times New Roman" w:hAnsi="Times New Roman" w:cs="Times New Roman"/>
          <w:iCs/>
          <w:sz w:val="24"/>
          <w:szCs w:val="24"/>
        </w:rPr>
        <w:t>s</w:t>
      </w:r>
      <w:r w:rsidR="00942A10">
        <w:rPr>
          <w:rFonts w:ascii="Times New Roman" w:hAnsi="Times New Roman" w:cs="Times New Roman"/>
          <w:iCs/>
          <w:sz w:val="24"/>
          <w:szCs w:val="24"/>
        </w:rPr>
        <w:t xml:space="preserve"> </w:t>
      </w:r>
      <w:r w:rsidR="007E0352">
        <w:rPr>
          <w:rFonts w:ascii="Times New Roman" w:hAnsi="Times New Roman" w:cs="Times New Roman"/>
          <w:iCs/>
          <w:sz w:val="24"/>
          <w:szCs w:val="24"/>
        </w:rPr>
        <w:t>in the case itself</w:t>
      </w:r>
      <w:r w:rsidR="006F0E43">
        <w:rPr>
          <w:rFonts w:ascii="Times New Roman" w:hAnsi="Times New Roman" w:cs="Times New Roman"/>
          <w:iCs/>
          <w:sz w:val="24"/>
          <w:szCs w:val="24"/>
        </w:rPr>
        <w:t>.</w:t>
      </w:r>
      <w:r w:rsidR="007E0352">
        <w:rPr>
          <w:rFonts w:ascii="Times New Roman" w:hAnsi="Times New Roman" w:cs="Times New Roman"/>
          <w:iCs/>
          <w:sz w:val="24"/>
          <w:szCs w:val="24"/>
        </w:rPr>
        <w:t xml:space="preserve"> </w:t>
      </w:r>
      <w:r w:rsidR="006F0E43">
        <w:rPr>
          <w:rFonts w:ascii="Times New Roman" w:hAnsi="Times New Roman" w:cs="Times New Roman"/>
          <w:iCs/>
          <w:sz w:val="24"/>
          <w:szCs w:val="24"/>
        </w:rPr>
        <w:t xml:space="preserve">It may be </w:t>
      </w:r>
      <w:r w:rsidR="00942A10">
        <w:rPr>
          <w:rFonts w:ascii="Times New Roman" w:hAnsi="Times New Roman" w:cs="Times New Roman"/>
          <w:iCs/>
          <w:sz w:val="24"/>
          <w:szCs w:val="24"/>
        </w:rPr>
        <w:t>that</w:t>
      </w:r>
      <w:r w:rsidR="007E0352">
        <w:rPr>
          <w:rFonts w:ascii="Times New Roman" w:hAnsi="Times New Roman" w:cs="Times New Roman"/>
          <w:iCs/>
          <w:sz w:val="24"/>
          <w:szCs w:val="24"/>
        </w:rPr>
        <w:t>, as also happened in Scotl</w:t>
      </w:r>
      <w:r w:rsidR="00942A10">
        <w:rPr>
          <w:rFonts w:ascii="Times New Roman" w:hAnsi="Times New Roman" w:cs="Times New Roman"/>
          <w:iCs/>
          <w:sz w:val="24"/>
          <w:szCs w:val="24"/>
        </w:rPr>
        <w:t xml:space="preserve">and, it was the familiarity of </w:t>
      </w:r>
      <w:r w:rsidR="00F03C07">
        <w:rPr>
          <w:rFonts w:ascii="Times New Roman" w:hAnsi="Times New Roman" w:cs="Times New Roman"/>
          <w:iCs/>
          <w:sz w:val="24"/>
          <w:szCs w:val="24"/>
        </w:rPr>
        <w:t xml:space="preserve">counsel and </w:t>
      </w:r>
      <w:r w:rsidR="00942A10">
        <w:rPr>
          <w:rFonts w:ascii="Times New Roman" w:hAnsi="Times New Roman" w:cs="Times New Roman"/>
          <w:iCs/>
          <w:sz w:val="24"/>
          <w:szCs w:val="24"/>
        </w:rPr>
        <w:t xml:space="preserve">the court with Justinian’s well known treatment of “improvements” which </w:t>
      </w:r>
      <w:r w:rsidR="00A20116">
        <w:rPr>
          <w:rFonts w:ascii="Times New Roman" w:hAnsi="Times New Roman" w:cs="Times New Roman"/>
          <w:iCs/>
          <w:sz w:val="24"/>
          <w:szCs w:val="24"/>
        </w:rPr>
        <w:t xml:space="preserve">contributed to </w:t>
      </w:r>
      <w:r w:rsidR="00F03C07">
        <w:rPr>
          <w:rFonts w:ascii="Times New Roman" w:hAnsi="Times New Roman" w:cs="Times New Roman"/>
          <w:iCs/>
          <w:sz w:val="24"/>
          <w:szCs w:val="24"/>
        </w:rPr>
        <w:t xml:space="preserve">its analysis in terms of </w:t>
      </w:r>
      <w:r w:rsidR="00632C4C">
        <w:rPr>
          <w:rFonts w:ascii="Times New Roman" w:hAnsi="Times New Roman" w:cs="Times New Roman"/>
          <w:iCs/>
          <w:sz w:val="24"/>
          <w:szCs w:val="24"/>
        </w:rPr>
        <w:t>the good faith</w:t>
      </w:r>
      <w:r w:rsidR="008061F9">
        <w:rPr>
          <w:rFonts w:ascii="Times New Roman" w:hAnsi="Times New Roman" w:cs="Times New Roman"/>
          <w:iCs/>
          <w:sz w:val="24"/>
          <w:szCs w:val="24"/>
        </w:rPr>
        <w:t xml:space="preserve"> possessor/builder.</w:t>
      </w:r>
      <w:r w:rsidR="007E0352">
        <w:rPr>
          <w:rFonts w:ascii="Times New Roman" w:hAnsi="Times New Roman" w:cs="Times New Roman"/>
          <w:iCs/>
          <w:sz w:val="24"/>
          <w:szCs w:val="24"/>
        </w:rPr>
        <w:t xml:space="preserve"> </w:t>
      </w:r>
      <w:r w:rsidRPr="00365A22">
        <w:rPr>
          <w:rFonts w:ascii="Times New Roman" w:hAnsi="Times New Roman" w:cs="Times New Roman"/>
          <w:i/>
          <w:iCs/>
          <w:sz w:val="24"/>
          <w:szCs w:val="24"/>
        </w:rPr>
        <w:t>Nortje</w:t>
      </w:r>
      <w:r w:rsidRPr="00365A22">
        <w:rPr>
          <w:rFonts w:ascii="Times New Roman" w:hAnsi="Times New Roman" w:cs="Times New Roman"/>
          <w:iCs/>
          <w:sz w:val="24"/>
          <w:szCs w:val="24"/>
        </w:rPr>
        <w:t xml:space="preserve"> proceeds on the authority of </w:t>
      </w:r>
      <w:r w:rsidRPr="00365A22">
        <w:rPr>
          <w:rFonts w:ascii="Times New Roman" w:hAnsi="Times New Roman" w:cs="Times New Roman"/>
          <w:i/>
          <w:iCs/>
          <w:sz w:val="24"/>
          <w:szCs w:val="24"/>
        </w:rPr>
        <w:t>Rubin</w:t>
      </w:r>
      <w:r w:rsidRPr="00365A22">
        <w:rPr>
          <w:rFonts w:ascii="Times New Roman" w:hAnsi="Times New Roman" w:cs="Times New Roman"/>
          <w:iCs/>
          <w:sz w:val="24"/>
          <w:szCs w:val="24"/>
        </w:rPr>
        <w:t>.</w:t>
      </w:r>
      <w:r w:rsidRPr="00365A22">
        <w:rPr>
          <w:rFonts w:ascii="Times New Roman" w:hAnsi="Times New Roman" w:cs="Times New Roman"/>
          <w:i/>
          <w:iCs/>
          <w:sz w:val="24"/>
          <w:szCs w:val="24"/>
        </w:rPr>
        <w:t xml:space="preserve"> </w:t>
      </w:r>
      <w:r w:rsidR="002079D3" w:rsidRPr="00A16E51">
        <w:rPr>
          <w:rFonts w:ascii="Times New Roman" w:hAnsi="Times New Roman" w:cs="Times New Roman"/>
          <w:iCs/>
          <w:sz w:val="24"/>
          <w:szCs w:val="24"/>
        </w:rPr>
        <w:t>T</w:t>
      </w:r>
      <w:r w:rsidR="00C20FCF" w:rsidRPr="00A16E51">
        <w:rPr>
          <w:rFonts w:ascii="Times New Roman" w:hAnsi="Times New Roman" w:cs="Times New Roman"/>
          <w:iCs/>
          <w:sz w:val="24"/>
          <w:szCs w:val="24"/>
        </w:rPr>
        <w:t>he</w:t>
      </w:r>
      <w:r w:rsidR="00C20FCF">
        <w:rPr>
          <w:rFonts w:ascii="Times New Roman" w:hAnsi="Times New Roman" w:cs="Times New Roman"/>
          <w:iCs/>
          <w:sz w:val="24"/>
          <w:szCs w:val="24"/>
        </w:rPr>
        <w:t xml:space="preserve"> owner could have had the agreement notarised or </w:t>
      </w:r>
      <w:r w:rsidR="00A16E51">
        <w:rPr>
          <w:rFonts w:ascii="Times New Roman" w:hAnsi="Times New Roman" w:cs="Times New Roman"/>
          <w:iCs/>
          <w:sz w:val="24"/>
          <w:szCs w:val="24"/>
        </w:rPr>
        <w:t xml:space="preserve">he </w:t>
      </w:r>
      <w:r w:rsidR="00C20FCF">
        <w:rPr>
          <w:rFonts w:ascii="Times New Roman" w:hAnsi="Times New Roman" w:cs="Times New Roman"/>
          <w:iCs/>
          <w:sz w:val="24"/>
          <w:szCs w:val="24"/>
        </w:rPr>
        <w:t xml:space="preserve">could have stood by its terms but there was a clear financial advantage </w:t>
      </w:r>
      <w:r w:rsidR="00A16E51">
        <w:rPr>
          <w:rFonts w:ascii="Times New Roman" w:hAnsi="Times New Roman" w:cs="Times New Roman"/>
          <w:iCs/>
          <w:sz w:val="24"/>
          <w:szCs w:val="24"/>
        </w:rPr>
        <w:t xml:space="preserve">in his </w:t>
      </w:r>
      <w:r w:rsidR="00C20FCF">
        <w:rPr>
          <w:rFonts w:ascii="Times New Roman" w:hAnsi="Times New Roman" w:cs="Times New Roman"/>
          <w:iCs/>
          <w:sz w:val="24"/>
          <w:szCs w:val="24"/>
        </w:rPr>
        <w:t>insist</w:t>
      </w:r>
      <w:r w:rsidR="00A16E51">
        <w:rPr>
          <w:rFonts w:ascii="Times New Roman" w:hAnsi="Times New Roman" w:cs="Times New Roman"/>
          <w:iCs/>
          <w:sz w:val="24"/>
          <w:szCs w:val="24"/>
        </w:rPr>
        <w:t>ing</w:t>
      </w:r>
      <w:r w:rsidR="00C20FCF">
        <w:rPr>
          <w:rFonts w:ascii="Times New Roman" w:hAnsi="Times New Roman" w:cs="Times New Roman"/>
          <w:iCs/>
          <w:sz w:val="24"/>
          <w:szCs w:val="24"/>
        </w:rPr>
        <w:t xml:space="preserve"> upon the technical invalidity. </w:t>
      </w:r>
      <w:r w:rsidR="00C55BF4">
        <w:rPr>
          <w:rFonts w:ascii="Times New Roman" w:hAnsi="Times New Roman" w:cs="Times New Roman"/>
          <w:iCs/>
          <w:sz w:val="24"/>
          <w:szCs w:val="24"/>
        </w:rPr>
        <w:t>The App</w:t>
      </w:r>
      <w:r w:rsidR="00C20FCF">
        <w:rPr>
          <w:rFonts w:ascii="Times New Roman" w:hAnsi="Times New Roman" w:cs="Times New Roman"/>
          <w:iCs/>
          <w:sz w:val="24"/>
          <w:szCs w:val="24"/>
        </w:rPr>
        <w:t>el</w:t>
      </w:r>
      <w:r w:rsidR="00225D60">
        <w:rPr>
          <w:rFonts w:ascii="Times New Roman" w:hAnsi="Times New Roman" w:cs="Times New Roman"/>
          <w:iCs/>
          <w:sz w:val="24"/>
          <w:szCs w:val="24"/>
        </w:rPr>
        <w:t>l</w:t>
      </w:r>
      <w:r w:rsidR="00C20FCF">
        <w:rPr>
          <w:rFonts w:ascii="Times New Roman" w:hAnsi="Times New Roman" w:cs="Times New Roman"/>
          <w:iCs/>
          <w:sz w:val="24"/>
          <w:szCs w:val="24"/>
        </w:rPr>
        <w:t xml:space="preserve">ate </w:t>
      </w:r>
      <w:r w:rsidR="00C55BF4">
        <w:rPr>
          <w:rFonts w:ascii="Times New Roman" w:hAnsi="Times New Roman" w:cs="Times New Roman"/>
          <w:iCs/>
          <w:sz w:val="24"/>
          <w:szCs w:val="24"/>
        </w:rPr>
        <w:t>D</w:t>
      </w:r>
      <w:r w:rsidR="00C20FCF">
        <w:rPr>
          <w:rFonts w:ascii="Times New Roman" w:hAnsi="Times New Roman" w:cs="Times New Roman"/>
          <w:iCs/>
          <w:sz w:val="24"/>
          <w:szCs w:val="24"/>
        </w:rPr>
        <w:t>ivision</w:t>
      </w:r>
      <w:r w:rsidR="00A16E51">
        <w:rPr>
          <w:rFonts w:ascii="Times New Roman" w:hAnsi="Times New Roman" w:cs="Times New Roman"/>
          <w:iCs/>
          <w:sz w:val="24"/>
          <w:szCs w:val="24"/>
        </w:rPr>
        <w:t xml:space="preserve"> </w:t>
      </w:r>
      <w:r w:rsidR="002079D3">
        <w:rPr>
          <w:rFonts w:ascii="Times New Roman" w:hAnsi="Times New Roman" w:cs="Times New Roman"/>
          <w:iCs/>
          <w:sz w:val="24"/>
          <w:szCs w:val="24"/>
        </w:rPr>
        <w:t>supported</w:t>
      </w:r>
      <w:r w:rsidR="00A16E51">
        <w:rPr>
          <w:rFonts w:ascii="Times New Roman" w:hAnsi="Times New Roman" w:cs="Times New Roman"/>
          <w:iCs/>
          <w:sz w:val="24"/>
          <w:szCs w:val="24"/>
        </w:rPr>
        <w:t xml:space="preserve"> </w:t>
      </w:r>
      <w:r w:rsidR="00632C4C">
        <w:rPr>
          <w:rFonts w:ascii="Times New Roman" w:hAnsi="Times New Roman" w:cs="Times New Roman"/>
          <w:iCs/>
          <w:sz w:val="24"/>
          <w:szCs w:val="24"/>
        </w:rPr>
        <w:t xml:space="preserve">sharp practice in </w:t>
      </w:r>
      <w:r w:rsidR="00632C4C" w:rsidRPr="00632C4C">
        <w:rPr>
          <w:rFonts w:ascii="Times New Roman" w:hAnsi="Times New Roman" w:cs="Times New Roman"/>
          <w:i/>
          <w:iCs/>
          <w:sz w:val="24"/>
          <w:szCs w:val="24"/>
        </w:rPr>
        <w:t>Nortje</w:t>
      </w:r>
      <w:r w:rsidR="00632C4C">
        <w:rPr>
          <w:rFonts w:ascii="Times New Roman" w:hAnsi="Times New Roman" w:cs="Times New Roman"/>
          <w:iCs/>
          <w:sz w:val="24"/>
          <w:szCs w:val="24"/>
        </w:rPr>
        <w:t>.</w:t>
      </w:r>
    </w:p>
    <w:p w14:paraId="3166010F" w14:textId="27955344" w:rsidR="00365A22" w:rsidRPr="00632F3D" w:rsidRDefault="00865435" w:rsidP="00F43197">
      <w:pPr>
        <w:spacing w:after="0" w:line="360" w:lineRule="auto"/>
        <w:jc w:val="both"/>
        <w:rPr>
          <w:rFonts w:ascii="Times New Roman" w:hAnsi="Times New Roman" w:cs="Times New Roman"/>
          <w:iCs/>
          <w:sz w:val="24"/>
          <w:szCs w:val="24"/>
        </w:rPr>
      </w:pPr>
      <w:r w:rsidRPr="00554B69">
        <w:rPr>
          <w:rFonts w:ascii="Times New Roman" w:hAnsi="Times New Roman" w:cs="Times New Roman"/>
          <w:i/>
          <w:iCs/>
          <w:sz w:val="24"/>
          <w:szCs w:val="24"/>
        </w:rPr>
        <w:t>McCarthy Retail</w:t>
      </w:r>
      <w:r w:rsidR="00A01B6D" w:rsidRPr="00554B69">
        <w:rPr>
          <w:rFonts w:ascii="Times New Roman" w:hAnsi="Times New Roman" w:cs="Times New Roman"/>
          <w:i/>
          <w:iCs/>
          <w:sz w:val="24"/>
          <w:szCs w:val="24"/>
        </w:rPr>
        <w:t xml:space="preserve"> v Shortdistance Carriers CC</w:t>
      </w:r>
    </w:p>
    <w:p w14:paraId="4A3B5D98" w14:textId="41959ECE" w:rsidR="00060812" w:rsidRDefault="00060812" w:rsidP="00F431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060812">
        <w:rPr>
          <w:rFonts w:ascii="Times New Roman" w:hAnsi="Times New Roman" w:cs="Times New Roman"/>
          <w:i/>
          <w:sz w:val="24"/>
          <w:szCs w:val="24"/>
        </w:rPr>
        <w:t xml:space="preserve"> Summary</w:t>
      </w:r>
    </w:p>
    <w:p w14:paraId="31435B9D" w14:textId="1939C5CE" w:rsidR="007960D0" w:rsidRPr="007960D0" w:rsidRDefault="00C535F2" w:rsidP="00F43197">
      <w:pPr>
        <w:spacing w:after="0" w:line="360" w:lineRule="auto"/>
        <w:jc w:val="both"/>
        <w:rPr>
          <w:rFonts w:ascii="Times New Roman" w:hAnsi="Times New Roman" w:cs="Times New Roman"/>
          <w:sz w:val="24"/>
          <w:szCs w:val="24"/>
        </w:rPr>
      </w:pPr>
      <w:r w:rsidRPr="00C535F2">
        <w:rPr>
          <w:rFonts w:ascii="Times New Roman" w:hAnsi="Times New Roman" w:cs="Times New Roman"/>
          <w:sz w:val="24"/>
          <w:szCs w:val="24"/>
        </w:rPr>
        <w:t xml:space="preserve">This brings us to a more recent </w:t>
      </w:r>
      <w:r w:rsidR="00632F3D">
        <w:rPr>
          <w:rFonts w:ascii="Times New Roman" w:hAnsi="Times New Roman" w:cs="Times New Roman"/>
          <w:sz w:val="24"/>
          <w:szCs w:val="24"/>
        </w:rPr>
        <w:t xml:space="preserve">high profile </w:t>
      </w:r>
      <w:r w:rsidRPr="00C535F2">
        <w:rPr>
          <w:rFonts w:ascii="Times New Roman" w:hAnsi="Times New Roman" w:cs="Times New Roman"/>
          <w:sz w:val="24"/>
          <w:szCs w:val="24"/>
        </w:rPr>
        <w:t>case involving a claim by the good faith</w:t>
      </w:r>
      <w:r w:rsidR="00632F3D">
        <w:rPr>
          <w:rFonts w:ascii="Times New Roman" w:hAnsi="Times New Roman" w:cs="Times New Roman"/>
          <w:sz w:val="24"/>
          <w:szCs w:val="24"/>
        </w:rPr>
        <w:t>/lawful</w:t>
      </w:r>
      <w:r w:rsidRPr="00C535F2">
        <w:rPr>
          <w:rFonts w:ascii="Times New Roman" w:hAnsi="Times New Roman" w:cs="Times New Roman"/>
          <w:sz w:val="24"/>
          <w:szCs w:val="24"/>
        </w:rPr>
        <w:t xml:space="preserve"> occupier for the improvement of property</w:t>
      </w:r>
      <w:r w:rsidR="00632F3D">
        <w:rPr>
          <w:rFonts w:ascii="Times New Roman" w:hAnsi="Times New Roman" w:cs="Times New Roman"/>
          <w:sz w:val="24"/>
          <w:szCs w:val="24"/>
        </w:rPr>
        <w:t>.</w:t>
      </w:r>
      <w:r w:rsidRPr="00C535F2">
        <w:rPr>
          <w:rFonts w:ascii="Times New Roman" w:hAnsi="Times New Roman" w:cs="Times New Roman"/>
          <w:sz w:val="24"/>
          <w:szCs w:val="24"/>
        </w:rPr>
        <w:t xml:space="preserve"> </w:t>
      </w:r>
      <w:r w:rsidR="00632F3D">
        <w:rPr>
          <w:rFonts w:ascii="Times New Roman" w:hAnsi="Times New Roman" w:cs="Times New Roman"/>
          <w:sz w:val="24"/>
          <w:szCs w:val="24"/>
        </w:rPr>
        <w:t>T</w:t>
      </w:r>
      <w:r w:rsidR="007960D0" w:rsidRPr="007960D0">
        <w:rPr>
          <w:rFonts w:ascii="Times New Roman" w:hAnsi="Times New Roman" w:cs="Times New Roman"/>
          <w:sz w:val="24"/>
          <w:szCs w:val="24"/>
        </w:rPr>
        <w:t>he owner of a truck</w:t>
      </w:r>
      <w:r w:rsidR="00632F3D">
        <w:rPr>
          <w:rFonts w:ascii="Times New Roman" w:hAnsi="Times New Roman" w:cs="Times New Roman"/>
          <w:sz w:val="24"/>
          <w:szCs w:val="24"/>
        </w:rPr>
        <w:t xml:space="preserve"> (</w:t>
      </w:r>
      <w:r w:rsidR="00241AA2">
        <w:rPr>
          <w:rFonts w:ascii="Times New Roman" w:hAnsi="Times New Roman" w:cs="Times New Roman"/>
          <w:sz w:val="24"/>
          <w:szCs w:val="24"/>
        </w:rPr>
        <w:t>D</w:t>
      </w:r>
      <w:r w:rsidR="00632F3D">
        <w:rPr>
          <w:rFonts w:ascii="Times New Roman" w:hAnsi="Times New Roman" w:cs="Times New Roman"/>
          <w:sz w:val="24"/>
          <w:szCs w:val="24"/>
        </w:rPr>
        <w:t>)</w:t>
      </w:r>
      <w:r w:rsidR="007960D0" w:rsidRPr="007960D0">
        <w:rPr>
          <w:rFonts w:ascii="Times New Roman" w:hAnsi="Times New Roman" w:cs="Times New Roman"/>
          <w:sz w:val="24"/>
          <w:szCs w:val="24"/>
        </w:rPr>
        <w:t xml:space="preserve">, following an accident, had taken it </w:t>
      </w:r>
      <w:r w:rsidR="00632F3D">
        <w:rPr>
          <w:rFonts w:ascii="Times New Roman" w:hAnsi="Times New Roman" w:cs="Times New Roman"/>
          <w:sz w:val="24"/>
          <w:szCs w:val="24"/>
        </w:rPr>
        <w:t>to a garage (</w:t>
      </w:r>
      <w:r w:rsidR="00241AA2">
        <w:rPr>
          <w:rFonts w:ascii="Times New Roman" w:hAnsi="Times New Roman" w:cs="Times New Roman"/>
          <w:sz w:val="24"/>
          <w:szCs w:val="24"/>
        </w:rPr>
        <w:t>P</w:t>
      </w:r>
      <w:r w:rsidR="00632F3D">
        <w:rPr>
          <w:rFonts w:ascii="Times New Roman" w:hAnsi="Times New Roman" w:cs="Times New Roman"/>
          <w:sz w:val="24"/>
          <w:szCs w:val="24"/>
        </w:rPr>
        <w:t xml:space="preserve">) </w:t>
      </w:r>
      <w:r w:rsidR="007960D0" w:rsidRPr="007960D0">
        <w:rPr>
          <w:rFonts w:ascii="Times New Roman" w:hAnsi="Times New Roman" w:cs="Times New Roman"/>
          <w:sz w:val="24"/>
          <w:szCs w:val="24"/>
        </w:rPr>
        <w:t>for repair.</w:t>
      </w:r>
      <w:r w:rsidR="00632F3D">
        <w:rPr>
          <w:rFonts w:ascii="Times New Roman" w:hAnsi="Times New Roman" w:cs="Times New Roman"/>
          <w:sz w:val="24"/>
          <w:szCs w:val="24"/>
        </w:rPr>
        <w:t xml:space="preserve"> The owner instructed the garage not to proceed without the authorisation of his insurance company. </w:t>
      </w:r>
      <w:r w:rsidR="007960D0" w:rsidRPr="007960D0">
        <w:rPr>
          <w:rFonts w:ascii="Times New Roman" w:hAnsi="Times New Roman" w:cs="Times New Roman"/>
          <w:sz w:val="24"/>
          <w:szCs w:val="24"/>
        </w:rPr>
        <w:t xml:space="preserve">The </w:t>
      </w:r>
      <w:r w:rsidR="00632F3D">
        <w:rPr>
          <w:rFonts w:ascii="Times New Roman" w:hAnsi="Times New Roman" w:cs="Times New Roman"/>
          <w:sz w:val="24"/>
          <w:szCs w:val="24"/>
        </w:rPr>
        <w:t xml:space="preserve">dispute </w:t>
      </w:r>
      <w:r w:rsidR="007960D0" w:rsidRPr="007960D0">
        <w:rPr>
          <w:rFonts w:ascii="Times New Roman" w:hAnsi="Times New Roman" w:cs="Times New Roman"/>
          <w:sz w:val="24"/>
          <w:szCs w:val="24"/>
        </w:rPr>
        <w:t xml:space="preserve">arose after a visit by the insurance agent to inspect the vehicle. The trial judge ultimately found that no instruction had been given </w:t>
      </w:r>
      <w:r w:rsidR="00632F3D">
        <w:rPr>
          <w:rFonts w:ascii="Times New Roman" w:hAnsi="Times New Roman" w:cs="Times New Roman"/>
          <w:sz w:val="24"/>
          <w:szCs w:val="24"/>
        </w:rPr>
        <w:t xml:space="preserve">by the insurance company to proceed </w:t>
      </w:r>
      <w:r w:rsidR="007960D0" w:rsidRPr="007960D0">
        <w:rPr>
          <w:rFonts w:ascii="Times New Roman" w:hAnsi="Times New Roman" w:cs="Times New Roman"/>
          <w:sz w:val="24"/>
          <w:szCs w:val="24"/>
        </w:rPr>
        <w:t xml:space="preserve">but that </w:t>
      </w:r>
      <w:r w:rsidR="00632F3D">
        <w:rPr>
          <w:rFonts w:ascii="Times New Roman" w:hAnsi="Times New Roman" w:cs="Times New Roman"/>
          <w:sz w:val="24"/>
          <w:szCs w:val="24"/>
        </w:rPr>
        <w:t xml:space="preserve">the garage representative, </w:t>
      </w:r>
      <w:r w:rsidR="007960D0" w:rsidRPr="007960D0">
        <w:rPr>
          <w:rFonts w:ascii="Times New Roman" w:hAnsi="Times New Roman" w:cs="Times New Roman"/>
          <w:sz w:val="24"/>
          <w:szCs w:val="24"/>
        </w:rPr>
        <w:t>Mr Dinkel</w:t>
      </w:r>
      <w:r w:rsidR="00632F3D">
        <w:rPr>
          <w:rFonts w:ascii="Times New Roman" w:hAnsi="Times New Roman" w:cs="Times New Roman"/>
          <w:sz w:val="24"/>
          <w:szCs w:val="24"/>
        </w:rPr>
        <w:t>,</w:t>
      </w:r>
      <w:r w:rsidR="007960D0" w:rsidRPr="007960D0">
        <w:rPr>
          <w:rFonts w:ascii="Times New Roman" w:hAnsi="Times New Roman" w:cs="Times New Roman"/>
          <w:sz w:val="24"/>
          <w:szCs w:val="24"/>
        </w:rPr>
        <w:t xml:space="preserve"> had laboured under the </w:t>
      </w:r>
      <w:r w:rsidR="007960D0" w:rsidRPr="007960D0">
        <w:rPr>
          <w:rFonts w:ascii="Times New Roman" w:hAnsi="Times New Roman" w:cs="Times New Roman"/>
          <w:i/>
          <w:sz w:val="24"/>
          <w:szCs w:val="24"/>
        </w:rPr>
        <w:t xml:space="preserve">bona fide </w:t>
      </w:r>
      <w:r w:rsidR="007960D0" w:rsidRPr="007960D0">
        <w:rPr>
          <w:rFonts w:ascii="Times New Roman" w:hAnsi="Times New Roman" w:cs="Times New Roman"/>
          <w:sz w:val="24"/>
          <w:szCs w:val="24"/>
        </w:rPr>
        <w:t>but mistaken belief that it had</w:t>
      </w:r>
      <w:r w:rsidR="007960D0" w:rsidRPr="001B5228">
        <w:rPr>
          <w:rFonts w:ascii="Times New Roman" w:hAnsi="Times New Roman" w:cs="Times New Roman"/>
          <w:sz w:val="24"/>
          <w:szCs w:val="24"/>
        </w:rPr>
        <w:t>.</w:t>
      </w:r>
      <w:r w:rsidR="00632F3D" w:rsidRPr="001B5228">
        <w:rPr>
          <w:rFonts w:ascii="Times New Roman" w:hAnsi="Times New Roman" w:cs="Times New Roman"/>
          <w:sz w:val="24"/>
          <w:szCs w:val="24"/>
        </w:rPr>
        <w:t xml:space="preserve"> Mr Dinkel was found to be an impetuous individual prone to make unwarranted assumptions.</w:t>
      </w:r>
      <w:r w:rsidR="009318C8">
        <w:rPr>
          <w:rStyle w:val="FootnoteReference"/>
          <w:rFonts w:ascii="Times New Roman" w:hAnsi="Times New Roman" w:cs="Times New Roman"/>
          <w:sz w:val="24"/>
          <w:szCs w:val="24"/>
        </w:rPr>
        <w:footnoteReference w:id="37"/>
      </w:r>
    </w:p>
    <w:p w14:paraId="001E7499" w14:textId="77777777" w:rsidR="0041252C" w:rsidRDefault="00632F3D" w:rsidP="00F431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garage repaired the truck but </w:t>
      </w:r>
      <w:r w:rsidR="007960D0" w:rsidRPr="007960D0">
        <w:rPr>
          <w:rFonts w:ascii="Times New Roman" w:hAnsi="Times New Roman" w:cs="Times New Roman"/>
          <w:sz w:val="24"/>
          <w:szCs w:val="24"/>
        </w:rPr>
        <w:t>the insurer repudiat</w:t>
      </w:r>
      <w:r>
        <w:rPr>
          <w:rFonts w:ascii="Times New Roman" w:hAnsi="Times New Roman" w:cs="Times New Roman"/>
          <w:sz w:val="24"/>
          <w:szCs w:val="24"/>
        </w:rPr>
        <w:t>ed</w:t>
      </w:r>
      <w:r w:rsidR="007960D0" w:rsidRPr="007960D0">
        <w:rPr>
          <w:rFonts w:ascii="Times New Roman" w:hAnsi="Times New Roman" w:cs="Times New Roman"/>
          <w:sz w:val="24"/>
          <w:szCs w:val="24"/>
        </w:rPr>
        <w:t xml:space="preserve"> the owner’s claim</w:t>
      </w:r>
      <w:r>
        <w:rPr>
          <w:rFonts w:ascii="Times New Roman" w:hAnsi="Times New Roman" w:cs="Times New Roman"/>
          <w:sz w:val="24"/>
          <w:szCs w:val="24"/>
        </w:rPr>
        <w:t xml:space="preserve"> for the costs. </w:t>
      </w:r>
      <w:r w:rsidR="007960D0" w:rsidRPr="007960D0">
        <w:rPr>
          <w:rFonts w:ascii="Times New Roman" w:hAnsi="Times New Roman" w:cs="Times New Roman"/>
          <w:sz w:val="24"/>
          <w:szCs w:val="24"/>
        </w:rPr>
        <w:t>As it turned out th</w:t>
      </w:r>
      <w:r w:rsidR="0041252C">
        <w:rPr>
          <w:rFonts w:ascii="Times New Roman" w:hAnsi="Times New Roman" w:cs="Times New Roman"/>
          <w:sz w:val="24"/>
          <w:szCs w:val="24"/>
        </w:rPr>
        <w:t>e</w:t>
      </w:r>
      <w:r w:rsidR="007960D0" w:rsidRPr="007960D0">
        <w:rPr>
          <w:rFonts w:ascii="Times New Roman" w:hAnsi="Times New Roman" w:cs="Times New Roman"/>
          <w:sz w:val="24"/>
          <w:szCs w:val="24"/>
        </w:rPr>
        <w:t xml:space="preserve"> repudiation was without grounds but nonetheless </w:t>
      </w:r>
      <w:r w:rsidR="0041252C">
        <w:rPr>
          <w:rFonts w:ascii="Times New Roman" w:hAnsi="Times New Roman" w:cs="Times New Roman"/>
          <w:sz w:val="24"/>
          <w:szCs w:val="24"/>
        </w:rPr>
        <w:t xml:space="preserve">it </w:t>
      </w:r>
      <w:r w:rsidR="007960D0" w:rsidRPr="007960D0">
        <w:rPr>
          <w:rFonts w:ascii="Times New Roman" w:hAnsi="Times New Roman" w:cs="Times New Roman"/>
          <w:sz w:val="24"/>
          <w:szCs w:val="24"/>
        </w:rPr>
        <w:t>triggered a clause in the insurance agreement requiring the owner to raise any dispute within 6 months of the notice of repudiation. This period elapsed</w:t>
      </w:r>
      <w:r w:rsidR="0041252C">
        <w:rPr>
          <w:rFonts w:ascii="Times New Roman" w:hAnsi="Times New Roman" w:cs="Times New Roman"/>
          <w:sz w:val="24"/>
          <w:szCs w:val="24"/>
        </w:rPr>
        <w:t>.</w:t>
      </w:r>
      <w:r w:rsidR="007960D0" w:rsidRPr="007960D0">
        <w:rPr>
          <w:rFonts w:ascii="Times New Roman" w:hAnsi="Times New Roman" w:cs="Times New Roman"/>
          <w:sz w:val="24"/>
          <w:szCs w:val="24"/>
        </w:rPr>
        <w:t xml:space="preserve"> The garage, after having had payment refused by the insurer then claimed against the owner on the basis of the </w:t>
      </w:r>
      <w:r w:rsidR="007960D0" w:rsidRPr="007960D0">
        <w:rPr>
          <w:rFonts w:ascii="Times New Roman" w:hAnsi="Times New Roman" w:cs="Times New Roman"/>
          <w:i/>
          <w:sz w:val="24"/>
          <w:szCs w:val="24"/>
        </w:rPr>
        <w:t>condictio sine causa</w:t>
      </w:r>
      <w:r w:rsidR="007960D0" w:rsidRPr="007960D0">
        <w:rPr>
          <w:rFonts w:ascii="Times New Roman" w:hAnsi="Times New Roman" w:cs="Times New Roman"/>
          <w:sz w:val="24"/>
          <w:szCs w:val="24"/>
        </w:rPr>
        <w:t xml:space="preserve">. </w:t>
      </w:r>
    </w:p>
    <w:p w14:paraId="2B6BCDE7" w14:textId="6B98729E"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Th</w:t>
      </w:r>
      <w:r w:rsidR="0041252C">
        <w:rPr>
          <w:rFonts w:ascii="Times New Roman" w:hAnsi="Times New Roman" w:cs="Times New Roman"/>
          <w:sz w:val="24"/>
          <w:szCs w:val="24"/>
        </w:rPr>
        <w:t>e</w:t>
      </w:r>
      <w:r w:rsidRPr="00C535F2">
        <w:rPr>
          <w:rFonts w:ascii="Times New Roman" w:hAnsi="Times New Roman" w:cs="Times New Roman"/>
          <w:sz w:val="24"/>
          <w:szCs w:val="24"/>
        </w:rPr>
        <w:t xml:space="preserve"> case has deservedly attracted significant attention, although not for the fact that it is a claim by a good faith occupier</w:t>
      </w:r>
      <w:r w:rsidR="0041252C">
        <w:rPr>
          <w:rFonts w:ascii="Times New Roman" w:hAnsi="Times New Roman" w:cs="Times New Roman"/>
          <w:sz w:val="24"/>
          <w:szCs w:val="24"/>
        </w:rPr>
        <w:t xml:space="preserve"> for improvements</w:t>
      </w:r>
      <w:r w:rsidRPr="00C535F2">
        <w:rPr>
          <w:rFonts w:ascii="Times New Roman" w:hAnsi="Times New Roman" w:cs="Times New Roman"/>
          <w:sz w:val="24"/>
          <w:szCs w:val="24"/>
        </w:rPr>
        <w:t xml:space="preserve">. </w:t>
      </w:r>
      <w:r w:rsidR="0041252C">
        <w:rPr>
          <w:rFonts w:ascii="Times New Roman" w:hAnsi="Times New Roman" w:cs="Times New Roman"/>
          <w:sz w:val="24"/>
          <w:szCs w:val="24"/>
        </w:rPr>
        <w:t xml:space="preserve">The </w:t>
      </w:r>
      <w:r w:rsidRPr="00C535F2">
        <w:rPr>
          <w:rFonts w:ascii="Times New Roman" w:hAnsi="Times New Roman" w:cs="Times New Roman"/>
          <w:sz w:val="24"/>
          <w:szCs w:val="24"/>
        </w:rPr>
        <w:t>focus</w:t>
      </w:r>
      <w:r w:rsidR="0041252C">
        <w:rPr>
          <w:rFonts w:ascii="Times New Roman" w:hAnsi="Times New Roman" w:cs="Times New Roman"/>
          <w:sz w:val="24"/>
          <w:szCs w:val="24"/>
        </w:rPr>
        <w:t xml:space="preserve"> has been</w:t>
      </w:r>
      <w:r w:rsidRPr="00C535F2">
        <w:rPr>
          <w:rFonts w:ascii="Times New Roman" w:hAnsi="Times New Roman" w:cs="Times New Roman"/>
          <w:sz w:val="24"/>
          <w:szCs w:val="24"/>
        </w:rPr>
        <w:t xml:space="preserve"> on Schutz JA’s majority judgment and its discussion of a “unified general principle of unjustified enrichment”</w:t>
      </w:r>
      <w:r w:rsidRPr="00C535F2">
        <w:rPr>
          <w:rStyle w:val="FootnoteReference"/>
          <w:rFonts w:ascii="Times New Roman" w:hAnsi="Times New Roman" w:cs="Times New Roman"/>
          <w:sz w:val="24"/>
          <w:szCs w:val="24"/>
        </w:rPr>
        <w:footnoteReference w:id="38"/>
      </w:r>
      <w:r w:rsidRPr="00C535F2">
        <w:rPr>
          <w:rFonts w:ascii="Times New Roman" w:hAnsi="Times New Roman" w:cs="Times New Roman"/>
          <w:sz w:val="24"/>
          <w:szCs w:val="24"/>
        </w:rPr>
        <w:t xml:space="preserve"> and the possibility of recognizing a “general enrichment action”.</w:t>
      </w:r>
      <w:bookmarkStart w:id="10" w:name="_Ref506286597"/>
      <w:r w:rsidRPr="00C535F2">
        <w:rPr>
          <w:rStyle w:val="FootnoteReference"/>
          <w:rFonts w:ascii="Times New Roman" w:hAnsi="Times New Roman" w:cs="Times New Roman"/>
          <w:sz w:val="24"/>
          <w:szCs w:val="24"/>
        </w:rPr>
        <w:footnoteReference w:id="39"/>
      </w:r>
      <w:bookmarkEnd w:id="10"/>
      <w:r w:rsidRPr="00C535F2">
        <w:rPr>
          <w:rFonts w:ascii="Times New Roman" w:hAnsi="Times New Roman" w:cs="Times New Roman"/>
          <w:sz w:val="24"/>
          <w:szCs w:val="24"/>
        </w:rPr>
        <w:t xml:space="preserve"> It was in </w:t>
      </w:r>
      <w:r w:rsidRPr="00C535F2">
        <w:rPr>
          <w:rFonts w:ascii="Times New Roman" w:hAnsi="Times New Roman" w:cs="Times New Roman"/>
          <w:i/>
          <w:sz w:val="24"/>
          <w:szCs w:val="24"/>
        </w:rPr>
        <w:t>Nortje v Pool,</w:t>
      </w:r>
      <w:r w:rsidRPr="00C535F2">
        <w:rPr>
          <w:rStyle w:val="FootnoteReference"/>
          <w:rFonts w:ascii="Times New Roman" w:hAnsi="Times New Roman" w:cs="Times New Roman"/>
          <w:sz w:val="24"/>
          <w:szCs w:val="24"/>
        </w:rPr>
        <w:footnoteReference w:id="40"/>
      </w:r>
      <w:r w:rsidRPr="00C535F2">
        <w:rPr>
          <w:rFonts w:ascii="Times New Roman" w:hAnsi="Times New Roman" w:cs="Times New Roman"/>
          <w:sz w:val="24"/>
          <w:szCs w:val="24"/>
        </w:rPr>
        <w:t xml:space="preserve"> that Botha JA found that Roman-Dutch law had never recognized a general claim arising out of the unjustified enrichment of the defendant at the expense of the plaintiff, a finding which presented a significant obstacle to academic calls on the courts to recognize a general enrichment action.</w:t>
      </w:r>
      <w:r w:rsidRPr="00C535F2">
        <w:rPr>
          <w:rStyle w:val="FootnoteReference"/>
          <w:rFonts w:ascii="Times New Roman" w:hAnsi="Times New Roman" w:cs="Times New Roman"/>
          <w:sz w:val="24"/>
          <w:szCs w:val="24"/>
        </w:rPr>
        <w:footnoteReference w:id="41"/>
      </w:r>
      <w:r w:rsidRPr="00C535F2">
        <w:rPr>
          <w:rFonts w:ascii="Times New Roman" w:hAnsi="Times New Roman" w:cs="Times New Roman"/>
          <w:sz w:val="24"/>
          <w:szCs w:val="24"/>
        </w:rPr>
        <w:t xml:space="preserve"> Schutz JA’s finding that </w:t>
      </w:r>
      <w:r w:rsidRPr="00C535F2">
        <w:rPr>
          <w:rFonts w:ascii="Times New Roman" w:hAnsi="Times New Roman" w:cs="Times New Roman"/>
          <w:i/>
          <w:sz w:val="24"/>
          <w:szCs w:val="24"/>
        </w:rPr>
        <w:t xml:space="preserve">Nortje </w:t>
      </w:r>
      <w:r w:rsidRPr="00C535F2">
        <w:rPr>
          <w:rFonts w:ascii="Times New Roman" w:hAnsi="Times New Roman" w:cs="Times New Roman"/>
          <w:sz w:val="24"/>
          <w:szCs w:val="24"/>
        </w:rPr>
        <w:t>was clearly wrongly on this point, and his subsequent support for the recognition of such an action, opened the door for a sea change in the South African law of unjustified enrichment. Visser note</w:t>
      </w:r>
      <w:r w:rsidR="00604639">
        <w:rPr>
          <w:rFonts w:ascii="Times New Roman" w:hAnsi="Times New Roman" w:cs="Times New Roman"/>
          <w:sz w:val="24"/>
          <w:szCs w:val="24"/>
        </w:rPr>
        <w:t>s</w:t>
      </w:r>
      <w:r w:rsidRPr="00C535F2">
        <w:rPr>
          <w:rFonts w:ascii="Times New Roman" w:hAnsi="Times New Roman" w:cs="Times New Roman"/>
          <w:sz w:val="24"/>
          <w:szCs w:val="24"/>
        </w:rPr>
        <w:t xml:space="preserve"> that a reversal of th</w:t>
      </w:r>
      <w:r w:rsidR="00604639">
        <w:rPr>
          <w:rFonts w:ascii="Times New Roman" w:hAnsi="Times New Roman" w:cs="Times New Roman"/>
          <w:sz w:val="24"/>
          <w:szCs w:val="24"/>
        </w:rPr>
        <w:t>is</w:t>
      </w:r>
      <w:r w:rsidRPr="00C535F2">
        <w:rPr>
          <w:rFonts w:ascii="Times New Roman" w:hAnsi="Times New Roman" w:cs="Times New Roman"/>
          <w:sz w:val="24"/>
          <w:szCs w:val="24"/>
        </w:rPr>
        <w:t xml:space="preserve"> position </w:t>
      </w:r>
      <w:r w:rsidR="00604639">
        <w:rPr>
          <w:rFonts w:ascii="Times New Roman" w:hAnsi="Times New Roman" w:cs="Times New Roman"/>
          <w:sz w:val="24"/>
          <w:szCs w:val="24"/>
        </w:rPr>
        <w:t xml:space="preserve">is now </w:t>
      </w:r>
      <w:r w:rsidRPr="00C535F2">
        <w:rPr>
          <w:rFonts w:ascii="Times New Roman" w:hAnsi="Times New Roman" w:cs="Times New Roman"/>
          <w:sz w:val="24"/>
          <w:szCs w:val="24"/>
        </w:rPr>
        <w:t xml:space="preserve">“inconceivable” despite </w:t>
      </w:r>
      <w:r w:rsidR="00604639">
        <w:rPr>
          <w:rFonts w:ascii="Times New Roman" w:hAnsi="Times New Roman" w:cs="Times New Roman"/>
          <w:sz w:val="24"/>
          <w:szCs w:val="24"/>
        </w:rPr>
        <w:t xml:space="preserve">Schutz JA’s statements on the matter being an </w:t>
      </w:r>
      <w:r w:rsidRPr="00C535F2">
        <w:rPr>
          <w:rFonts w:ascii="Times New Roman" w:hAnsi="Times New Roman" w:cs="Times New Roman"/>
          <w:i/>
          <w:sz w:val="24"/>
          <w:szCs w:val="24"/>
        </w:rPr>
        <w:t>obiter dictum</w:t>
      </w:r>
      <w:r w:rsidRPr="00C535F2">
        <w:rPr>
          <w:rFonts w:ascii="Times New Roman" w:hAnsi="Times New Roman" w:cs="Times New Roman"/>
          <w:sz w:val="24"/>
          <w:szCs w:val="24"/>
        </w:rPr>
        <w:t>.</w:t>
      </w:r>
      <w:r w:rsidRPr="00C535F2">
        <w:rPr>
          <w:rStyle w:val="FootnoteReference"/>
          <w:rFonts w:ascii="Times New Roman" w:hAnsi="Times New Roman" w:cs="Times New Roman"/>
          <w:sz w:val="24"/>
          <w:szCs w:val="24"/>
        </w:rPr>
        <w:footnoteReference w:id="42"/>
      </w:r>
      <w:r w:rsidRPr="00C535F2">
        <w:rPr>
          <w:rFonts w:ascii="Times New Roman" w:hAnsi="Times New Roman" w:cs="Times New Roman"/>
          <w:sz w:val="24"/>
          <w:szCs w:val="24"/>
        </w:rPr>
        <w:t xml:space="preserve"> </w:t>
      </w:r>
      <w:r w:rsidR="009107B8">
        <w:rPr>
          <w:rFonts w:ascii="Times New Roman" w:hAnsi="Times New Roman" w:cs="Times New Roman"/>
          <w:sz w:val="24"/>
          <w:szCs w:val="24"/>
        </w:rPr>
        <w:t xml:space="preserve"> Visser refers</w:t>
      </w:r>
      <w:r w:rsidRPr="00C535F2">
        <w:rPr>
          <w:rFonts w:ascii="Times New Roman" w:hAnsi="Times New Roman" w:cs="Times New Roman"/>
          <w:sz w:val="24"/>
          <w:szCs w:val="24"/>
        </w:rPr>
        <w:t xml:space="preserve"> to the law as being in a “post-</w:t>
      </w:r>
      <w:r w:rsidRPr="00C535F2">
        <w:rPr>
          <w:rFonts w:ascii="Times New Roman" w:hAnsi="Times New Roman" w:cs="Times New Roman"/>
          <w:i/>
          <w:sz w:val="24"/>
          <w:szCs w:val="24"/>
        </w:rPr>
        <w:t>McCarthy Retail</w:t>
      </w:r>
      <w:r w:rsidRPr="00C535F2">
        <w:rPr>
          <w:rFonts w:ascii="Times New Roman" w:hAnsi="Times New Roman" w:cs="Times New Roman"/>
          <w:sz w:val="24"/>
          <w:szCs w:val="24"/>
        </w:rPr>
        <w:t xml:space="preserve"> era”.</w:t>
      </w:r>
      <w:r w:rsidRPr="00C535F2">
        <w:rPr>
          <w:rStyle w:val="FootnoteReference"/>
          <w:rFonts w:ascii="Times New Roman" w:hAnsi="Times New Roman" w:cs="Times New Roman"/>
          <w:sz w:val="24"/>
          <w:szCs w:val="24"/>
        </w:rPr>
        <w:footnoteReference w:id="43"/>
      </w:r>
      <w:r w:rsidRPr="00C535F2">
        <w:rPr>
          <w:rFonts w:ascii="Times New Roman" w:hAnsi="Times New Roman" w:cs="Times New Roman"/>
          <w:sz w:val="24"/>
          <w:szCs w:val="24"/>
        </w:rPr>
        <w:t xml:space="preserve"> Du Plessis</w:t>
      </w:r>
      <w:r w:rsidR="00847B05">
        <w:rPr>
          <w:rFonts w:ascii="Times New Roman" w:hAnsi="Times New Roman" w:cs="Times New Roman"/>
          <w:sz w:val="24"/>
          <w:szCs w:val="24"/>
        </w:rPr>
        <w:t>, in another leading textbook</w:t>
      </w:r>
      <w:r w:rsidRPr="00C535F2">
        <w:rPr>
          <w:rFonts w:ascii="Times New Roman" w:hAnsi="Times New Roman" w:cs="Times New Roman"/>
          <w:sz w:val="24"/>
          <w:szCs w:val="24"/>
        </w:rPr>
        <w:t xml:space="preserve"> presents a discussion of the general enrichment action and the various routes the law could take in its recognition that is indicative of an opinion very similar to that of Visser.</w:t>
      </w:r>
      <w:r w:rsidRPr="00C535F2">
        <w:rPr>
          <w:rStyle w:val="FootnoteReference"/>
          <w:rFonts w:ascii="Times New Roman" w:hAnsi="Times New Roman" w:cs="Times New Roman"/>
          <w:sz w:val="24"/>
          <w:szCs w:val="24"/>
        </w:rPr>
        <w:footnoteReference w:id="44"/>
      </w:r>
    </w:p>
    <w:p w14:paraId="61C6D2DC" w14:textId="716F2F22" w:rsidR="00C535F2" w:rsidRPr="00C535F2" w:rsidRDefault="000F7C6A" w:rsidP="00F4319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Our immediate concern </w:t>
      </w:r>
      <w:r w:rsidR="00C535F2" w:rsidRPr="00C535F2">
        <w:rPr>
          <w:rFonts w:ascii="Times New Roman" w:hAnsi="Times New Roman" w:cs="Times New Roman"/>
          <w:sz w:val="24"/>
          <w:szCs w:val="24"/>
        </w:rPr>
        <w:t xml:space="preserve">is </w:t>
      </w:r>
      <w:r>
        <w:rPr>
          <w:rFonts w:ascii="Times New Roman" w:hAnsi="Times New Roman" w:cs="Times New Roman"/>
          <w:sz w:val="24"/>
          <w:szCs w:val="24"/>
        </w:rPr>
        <w:t>different. It is the</w:t>
      </w:r>
      <w:r w:rsidR="00C535F2" w:rsidRPr="00C535F2">
        <w:rPr>
          <w:rFonts w:ascii="Times New Roman" w:hAnsi="Times New Roman" w:cs="Times New Roman"/>
          <w:sz w:val="24"/>
          <w:szCs w:val="24"/>
        </w:rPr>
        <w:t xml:space="preserve"> characterization of </w:t>
      </w:r>
      <w:r w:rsidR="00C535F2" w:rsidRPr="00C535F2">
        <w:rPr>
          <w:rFonts w:ascii="Times New Roman" w:hAnsi="Times New Roman" w:cs="Times New Roman"/>
          <w:i/>
          <w:sz w:val="24"/>
          <w:szCs w:val="24"/>
        </w:rPr>
        <w:t>McCarthy</w:t>
      </w:r>
      <w:r w:rsidR="00C535F2" w:rsidRPr="00C535F2">
        <w:rPr>
          <w:rFonts w:ascii="Times New Roman" w:hAnsi="Times New Roman" w:cs="Times New Roman"/>
          <w:sz w:val="24"/>
          <w:szCs w:val="24"/>
        </w:rPr>
        <w:t xml:space="preserve"> </w:t>
      </w:r>
      <w:r>
        <w:rPr>
          <w:rFonts w:ascii="Times New Roman" w:hAnsi="Times New Roman" w:cs="Times New Roman"/>
          <w:sz w:val="24"/>
          <w:szCs w:val="24"/>
        </w:rPr>
        <w:t xml:space="preserve">by the SCA </w:t>
      </w:r>
      <w:r w:rsidR="00C535F2" w:rsidRPr="00C535F2">
        <w:rPr>
          <w:rFonts w:ascii="Times New Roman" w:hAnsi="Times New Roman" w:cs="Times New Roman"/>
          <w:sz w:val="24"/>
          <w:szCs w:val="24"/>
        </w:rPr>
        <w:t>as a claim by a good faith</w:t>
      </w:r>
      <w:r>
        <w:rPr>
          <w:rFonts w:ascii="Times New Roman" w:hAnsi="Times New Roman" w:cs="Times New Roman"/>
          <w:sz w:val="24"/>
          <w:szCs w:val="24"/>
        </w:rPr>
        <w:t>/lawful</w:t>
      </w:r>
      <w:r w:rsidR="00C535F2" w:rsidRPr="00C535F2">
        <w:rPr>
          <w:rFonts w:ascii="Times New Roman" w:hAnsi="Times New Roman" w:cs="Times New Roman"/>
          <w:sz w:val="24"/>
          <w:szCs w:val="24"/>
        </w:rPr>
        <w:t xml:space="preserve"> occupier</w:t>
      </w:r>
      <w:r>
        <w:rPr>
          <w:rFonts w:ascii="Times New Roman" w:hAnsi="Times New Roman" w:cs="Times New Roman"/>
          <w:sz w:val="24"/>
          <w:szCs w:val="24"/>
        </w:rPr>
        <w:t xml:space="preserve"> in line with the current law as outlined earlier. </w:t>
      </w:r>
      <w:r w:rsidR="00C535F2" w:rsidRPr="00C535F2">
        <w:rPr>
          <w:rFonts w:ascii="Times New Roman" w:hAnsi="Times New Roman" w:cs="Times New Roman"/>
          <w:sz w:val="24"/>
          <w:szCs w:val="24"/>
        </w:rPr>
        <w:t xml:space="preserve"> Schutz JA notes that the case is “a typical instance of necessary and useful improvements” and that it could “be solved by reference to established principles</w:t>
      </w:r>
      <w:r w:rsidR="00C5491D">
        <w:rPr>
          <w:rFonts w:ascii="Times New Roman" w:hAnsi="Times New Roman" w:cs="Times New Roman"/>
          <w:sz w:val="24"/>
          <w:szCs w:val="24"/>
        </w:rPr>
        <w:t xml:space="preserve"> </w:t>
      </w:r>
      <w:r w:rsidR="00E9770E">
        <w:rPr>
          <w:rFonts w:ascii="Times New Roman" w:hAnsi="Times New Roman" w:cs="Times New Roman"/>
          <w:sz w:val="24"/>
          <w:szCs w:val="24"/>
        </w:rPr>
        <w:t>[</w:t>
      </w:r>
      <w:r w:rsidR="00C5491D">
        <w:rPr>
          <w:rFonts w:ascii="Times New Roman" w:hAnsi="Times New Roman" w:cs="Times New Roman"/>
          <w:sz w:val="24"/>
          <w:szCs w:val="24"/>
        </w:rPr>
        <w:t>of unjustified enrichment</w:t>
      </w:r>
      <w:r w:rsidR="00E9770E">
        <w:rPr>
          <w:rFonts w:ascii="Times New Roman" w:hAnsi="Times New Roman" w:cs="Times New Roman"/>
          <w:sz w:val="24"/>
          <w:szCs w:val="24"/>
        </w:rPr>
        <w:t>]</w:t>
      </w:r>
      <w:r w:rsidR="00E9770E" w:rsidRPr="00C535F2">
        <w:rPr>
          <w:rFonts w:ascii="Times New Roman" w:hAnsi="Times New Roman" w:cs="Times New Roman"/>
          <w:sz w:val="24"/>
          <w:szCs w:val="24"/>
        </w:rPr>
        <w:t>”</w:t>
      </w:r>
      <w:r w:rsidR="00E9770E">
        <w:rPr>
          <w:rFonts w:ascii="Times New Roman" w:hAnsi="Times New Roman" w:cs="Times New Roman"/>
          <w:sz w:val="24"/>
          <w:szCs w:val="24"/>
        </w:rPr>
        <w:t>.</w:t>
      </w:r>
      <w:r w:rsidR="00E9770E" w:rsidRPr="00C535F2">
        <w:rPr>
          <w:rFonts w:ascii="Times New Roman" w:hAnsi="Times New Roman" w:cs="Times New Roman"/>
          <w:sz w:val="24"/>
          <w:szCs w:val="24"/>
        </w:rPr>
        <w:t xml:space="preserve"> </w:t>
      </w:r>
      <w:r w:rsidR="00C535F2" w:rsidRPr="00C535F2">
        <w:rPr>
          <w:rFonts w:ascii="Times New Roman" w:hAnsi="Times New Roman" w:cs="Times New Roman"/>
          <w:sz w:val="24"/>
          <w:szCs w:val="24"/>
        </w:rPr>
        <w:t xml:space="preserve">Although Harms JA withheld his concurrence on the broader </w:t>
      </w:r>
      <w:r w:rsidR="00C535F2" w:rsidRPr="00722BFB">
        <w:rPr>
          <w:rFonts w:ascii="Times New Roman" w:hAnsi="Times New Roman" w:cs="Times New Roman"/>
          <w:i/>
          <w:sz w:val="24"/>
          <w:szCs w:val="24"/>
        </w:rPr>
        <w:t>obiter</w:t>
      </w:r>
      <w:r w:rsidR="00C535F2" w:rsidRPr="00C535F2">
        <w:rPr>
          <w:rFonts w:ascii="Times New Roman" w:hAnsi="Times New Roman" w:cs="Times New Roman"/>
          <w:sz w:val="24"/>
          <w:szCs w:val="24"/>
        </w:rPr>
        <w:t xml:space="preserve"> discussion about the general enrichment action he agreed entirely with this aspect of Schutz JA’s judgment remarking that the case “fits neatly within the niche of the action of the </w:t>
      </w:r>
      <w:r w:rsidR="00C535F2" w:rsidRPr="00C535F2">
        <w:rPr>
          <w:rFonts w:ascii="Times New Roman" w:hAnsi="Times New Roman" w:cs="Times New Roman"/>
          <w:i/>
          <w:sz w:val="24"/>
          <w:szCs w:val="24"/>
        </w:rPr>
        <w:t xml:space="preserve">bona fide </w:t>
      </w:r>
      <w:r w:rsidR="00C535F2" w:rsidRPr="00C535F2">
        <w:rPr>
          <w:rFonts w:ascii="Times New Roman" w:hAnsi="Times New Roman" w:cs="Times New Roman"/>
          <w:sz w:val="24"/>
          <w:szCs w:val="24"/>
        </w:rPr>
        <w:t>occupier…”</w:t>
      </w:r>
      <w:r w:rsidR="00C5491D">
        <w:rPr>
          <w:rFonts w:ascii="Times New Roman" w:hAnsi="Times New Roman" w:cs="Times New Roman"/>
          <w:sz w:val="24"/>
          <w:szCs w:val="24"/>
        </w:rPr>
        <w:t xml:space="preserve">. </w:t>
      </w:r>
      <w:r w:rsidR="00C535F2" w:rsidRPr="00C535F2">
        <w:rPr>
          <w:rFonts w:ascii="Times New Roman" w:hAnsi="Times New Roman" w:cs="Times New Roman"/>
          <w:sz w:val="24"/>
          <w:szCs w:val="24"/>
        </w:rPr>
        <w:t>Visser</w:t>
      </w:r>
      <w:r w:rsidR="00C5491D">
        <w:rPr>
          <w:rFonts w:ascii="Times New Roman" w:hAnsi="Times New Roman" w:cs="Times New Roman"/>
          <w:sz w:val="24"/>
          <w:szCs w:val="24"/>
        </w:rPr>
        <w:t>, in response, said that</w:t>
      </w:r>
      <w:r w:rsidR="00C535F2" w:rsidRPr="00C535F2">
        <w:rPr>
          <w:rFonts w:ascii="Times New Roman" w:hAnsi="Times New Roman" w:cs="Times New Roman"/>
          <w:sz w:val="24"/>
          <w:szCs w:val="24"/>
        </w:rPr>
        <w:t>:</w:t>
      </w:r>
    </w:p>
    <w:p w14:paraId="23943623" w14:textId="77777777" w:rsidR="00C535F2" w:rsidRPr="00C535F2" w:rsidRDefault="00C535F2" w:rsidP="00F43197">
      <w:pPr>
        <w:spacing w:after="0" w:line="360" w:lineRule="auto"/>
        <w:ind w:left="567" w:right="567"/>
        <w:jc w:val="both"/>
        <w:rPr>
          <w:rFonts w:ascii="Times New Roman" w:hAnsi="Times New Roman" w:cs="Times New Roman"/>
          <w:sz w:val="24"/>
          <w:szCs w:val="24"/>
        </w:rPr>
      </w:pPr>
      <w:r w:rsidRPr="00C535F2">
        <w:rPr>
          <w:rFonts w:ascii="Times New Roman" w:hAnsi="Times New Roman" w:cs="Times New Roman"/>
          <w:sz w:val="24"/>
          <w:szCs w:val="24"/>
        </w:rPr>
        <w:t xml:space="preserve">“the case was easily solved by reference to the ordinary and established principles of the law of unjustified enrichment, yet, somewhat incongruously these quite unremarkable facts have given rise to a decision which might come to be seen as one of the landmark cases of unjustified enrichment law in South Africa.” </w:t>
      </w:r>
      <w:r w:rsidRPr="00C535F2">
        <w:rPr>
          <w:rStyle w:val="FootnoteReference"/>
          <w:rFonts w:ascii="Times New Roman" w:hAnsi="Times New Roman" w:cs="Times New Roman"/>
          <w:sz w:val="24"/>
          <w:szCs w:val="24"/>
        </w:rPr>
        <w:footnoteReference w:id="45"/>
      </w:r>
    </w:p>
    <w:p w14:paraId="07EDABFE" w14:textId="77777777" w:rsidR="00C535F2" w:rsidRPr="00C535F2" w:rsidRDefault="00C535F2" w:rsidP="00F43197">
      <w:pPr>
        <w:spacing w:after="0" w:line="360" w:lineRule="auto"/>
        <w:jc w:val="both"/>
        <w:rPr>
          <w:rFonts w:ascii="Times New Roman" w:hAnsi="Times New Roman" w:cs="Times New Roman"/>
          <w:sz w:val="24"/>
          <w:szCs w:val="24"/>
        </w:rPr>
      </w:pPr>
      <w:r w:rsidRPr="00C535F2">
        <w:rPr>
          <w:rFonts w:ascii="Times New Roman" w:hAnsi="Times New Roman" w:cs="Times New Roman"/>
          <w:sz w:val="24"/>
          <w:szCs w:val="24"/>
        </w:rPr>
        <w:t xml:space="preserve">However, he belies this claim to simplicity when he later notes that in addition to being a case of a </w:t>
      </w:r>
      <w:r w:rsidRPr="00C535F2">
        <w:rPr>
          <w:rFonts w:ascii="Times New Roman" w:hAnsi="Times New Roman" w:cs="Times New Roman"/>
          <w:i/>
          <w:sz w:val="24"/>
          <w:szCs w:val="24"/>
        </w:rPr>
        <w:t>bona fide</w:t>
      </w:r>
      <w:r w:rsidRPr="00C535F2">
        <w:rPr>
          <w:rFonts w:ascii="Times New Roman" w:hAnsi="Times New Roman" w:cs="Times New Roman"/>
          <w:sz w:val="24"/>
          <w:szCs w:val="24"/>
        </w:rPr>
        <w:t xml:space="preserve"> occupier improving another’s property that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is </w:t>
      </w:r>
      <w:r w:rsidR="00BE7752">
        <w:rPr>
          <w:rFonts w:ascii="Times New Roman" w:hAnsi="Times New Roman" w:cs="Times New Roman"/>
          <w:sz w:val="24"/>
          <w:szCs w:val="24"/>
        </w:rPr>
        <w:t>“</w:t>
      </w:r>
      <w:r w:rsidRPr="00C535F2">
        <w:rPr>
          <w:rFonts w:ascii="Times New Roman" w:hAnsi="Times New Roman" w:cs="Times New Roman"/>
          <w:sz w:val="24"/>
          <w:szCs w:val="24"/>
        </w:rPr>
        <w:t>of course also a case of multiparty enrichment</w:t>
      </w:r>
      <w:r w:rsidR="00BE7752">
        <w:rPr>
          <w:rFonts w:ascii="Times New Roman" w:hAnsi="Times New Roman" w:cs="Times New Roman"/>
          <w:sz w:val="24"/>
          <w:szCs w:val="24"/>
        </w:rPr>
        <w:t>”</w:t>
      </w:r>
      <w:r w:rsidR="00722BFB">
        <w:rPr>
          <w:rFonts w:ascii="Times New Roman" w:hAnsi="Times New Roman" w:cs="Times New Roman"/>
          <w:sz w:val="24"/>
          <w:szCs w:val="24"/>
        </w:rPr>
        <w:t>.</w:t>
      </w:r>
      <w:r w:rsidRPr="00C535F2">
        <w:rPr>
          <w:rFonts w:ascii="Times New Roman" w:hAnsi="Times New Roman" w:cs="Times New Roman"/>
          <w:sz w:val="24"/>
          <w:szCs w:val="24"/>
        </w:rPr>
        <w:t xml:space="preserve"> This contradicts </w:t>
      </w:r>
      <w:r w:rsidR="00722BFB">
        <w:rPr>
          <w:rFonts w:ascii="Times New Roman" w:hAnsi="Times New Roman" w:cs="Times New Roman"/>
          <w:sz w:val="24"/>
          <w:szCs w:val="24"/>
        </w:rPr>
        <w:t xml:space="preserve">the </w:t>
      </w:r>
      <w:r w:rsidRPr="00C535F2">
        <w:rPr>
          <w:rFonts w:ascii="Times New Roman" w:hAnsi="Times New Roman" w:cs="Times New Roman"/>
          <w:sz w:val="24"/>
          <w:szCs w:val="24"/>
        </w:rPr>
        <w:t xml:space="preserve">explicit finding by the court that </w:t>
      </w:r>
      <w:r w:rsidR="00C20E8B">
        <w:rPr>
          <w:rFonts w:ascii="Times New Roman" w:hAnsi="Times New Roman" w:cs="Times New Roman"/>
          <w:sz w:val="24"/>
          <w:szCs w:val="24"/>
        </w:rPr>
        <w:t xml:space="preserve">it </w:t>
      </w:r>
      <w:r w:rsidRPr="00C535F2">
        <w:rPr>
          <w:rFonts w:ascii="Times New Roman" w:hAnsi="Times New Roman" w:cs="Times New Roman"/>
          <w:sz w:val="24"/>
          <w:szCs w:val="24"/>
        </w:rPr>
        <w:t>was not a multiparty case.</w:t>
      </w:r>
      <w:r w:rsidRPr="00C535F2">
        <w:rPr>
          <w:rStyle w:val="FootnoteReference"/>
          <w:rFonts w:ascii="Times New Roman" w:hAnsi="Times New Roman" w:cs="Times New Roman"/>
          <w:sz w:val="24"/>
          <w:szCs w:val="24"/>
        </w:rPr>
        <w:footnoteReference w:id="46"/>
      </w:r>
    </w:p>
    <w:p w14:paraId="43EBE97E" w14:textId="5494B72A"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In Schutz JA’s judgment </w:t>
      </w:r>
      <w:r w:rsidR="009C6717">
        <w:rPr>
          <w:rFonts w:ascii="Times New Roman" w:hAnsi="Times New Roman" w:cs="Times New Roman"/>
          <w:sz w:val="24"/>
          <w:szCs w:val="24"/>
        </w:rPr>
        <w:t xml:space="preserve">P’s claim </w:t>
      </w:r>
      <w:r w:rsidR="00D96441">
        <w:rPr>
          <w:rFonts w:ascii="Times New Roman" w:hAnsi="Times New Roman" w:cs="Times New Roman"/>
          <w:sz w:val="24"/>
          <w:szCs w:val="24"/>
        </w:rPr>
        <w:t xml:space="preserve">could not be a </w:t>
      </w:r>
      <w:r w:rsidRPr="00C535F2">
        <w:rPr>
          <w:rFonts w:ascii="Times New Roman" w:hAnsi="Times New Roman" w:cs="Times New Roman"/>
          <w:i/>
          <w:sz w:val="24"/>
          <w:szCs w:val="24"/>
        </w:rPr>
        <w:t>condictio sine causa</w:t>
      </w:r>
      <w:r w:rsidR="001F38F4">
        <w:rPr>
          <w:rFonts w:ascii="Times New Roman" w:hAnsi="Times New Roman" w:cs="Times New Roman"/>
          <w:i/>
          <w:sz w:val="24"/>
          <w:szCs w:val="24"/>
        </w:rPr>
        <w:t xml:space="preserve"> </w:t>
      </w:r>
      <w:r w:rsidR="001F38F4">
        <w:rPr>
          <w:rFonts w:ascii="Times New Roman" w:hAnsi="Times New Roman" w:cs="Times New Roman"/>
          <w:sz w:val="24"/>
          <w:szCs w:val="24"/>
        </w:rPr>
        <w:t xml:space="preserve">because of the </w:t>
      </w:r>
      <w:r w:rsidR="00E65463">
        <w:rPr>
          <w:rFonts w:ascii="Times New Roman" w:hAnsi="Times New Roman" w:cs="Times New Roman"/>
          <w:sz w:val="24"/>
          <w:szCs w:val="24"/>
        </w:rPr>
        <w:t xml:space="preserve">manner of </w:t>
      </w:r>
      <w:r w:rsidR="00BD2D54">
        <w:rPr>
          <w:rFonts w:ascii="Times New Roman" w:hAnsi="Times New Roman" w:cs="Times New Roman"/>
          <w:sz w:val="24"/>
          <w:szCs w:val="24"/>
        </w:rPr>
        <w:t>D’s</w:t>
      </w:r>
      <w:r w:rsidR="00D96441">
        <w:rPr>
          <w:rFonts w:ascii="Times New Roman" w:hAnsi="Times New Roman" w:cs="Times New Roman"/>
          <w:sz w:val="24"/>
          <w:szCs w:val="24"/>
        </w:rPr>
        <w:t xml:space="preserve"> </w:t>
      </w:r>
      <w:r w:rsidR="001F38F4">
        <w:rPr>
          <w:rFonts w:ascii="Times New Roman" w:hAnsi="Times New Roman" w:cs="Times New Roman"/>
          <w:sz w:val="24"/>
          <w:szCs w:val="24"/>
        </w:rPr>
        <w:t>enrichment:</w:t>
      </w:r>
      <w:r w:rsidR="001F38F4" w:rsidRPr="001F38F4">
        <w:rPr>
          <w:rFonts w:ascii="Times New Roman" w:hAnsi="Times New Roman" w:cs="Times New Roman"/>
          <w:sz w:val="24"/>
          <w:szCs w:val="24"/>
          <w:vertAlign w:val="superscript"/>
        </w:rPr>
        <w:footnoteReference w:id="47"/>
      </w:r>
      <w:r w:rsidRPr="00C535F2">
        <w:rPr>
          <w:rFonts w:ascii="Times New Roman" w:hAnsi="Times New Roman" w:cs="Times New Roman"/>
          <w:sz w:val="24"/>
          <w:szCs w:val="24"/>
        </w:rPr>
        <w:t xml:space="preserve"> the truck was already </w:t>
      </w:r>
      <w:r w:rsidR="00BD2D54">
        <w:rPr>
          <w:rFonts w:ascii="Times New Roman" w:hAnsi="Times New Roman" w:cs="Times New Roman"/>
          <w:sz w:val="24"/>
          <w:szCs w:val="24"/>
        </w:rPr>
        <w:t xml:space="preserve">D’s </w:t>
      </w:r>
      <w:r w:rsidR="001F38F4">
        <w:rPr>
          <w:rFonts w:ascii="Times New Roman" w:hAnsi="Times New Roman" w:cs="Times New Roman"/>
          <w:sz w:val="24"/>
          <w:szCs w:val="24"/>
        </w:rPr>
        <w:t xml:space="preserve">and </w:t>
      </w:r>
      <w:r w:rsidRPr="00C535F2">
        <w:rPr>
          <w:rFonts w:ascii="Times New Roman" w:hAnsi="Times New Roman" w:cs="Times New Roman"/>
          <w:sz w:val="24"/>
          <w:szCs w:val="24"/>
        </w:rPr>
        <w:t xml:space="preserve">the repairs </w:t>
      </w:r>
      <w:r w:rsidR="00BD2D54">
        <w:rPr>
          <w:rFonts w:ascii="Times New Roman" w:hAnsi="Times New Roman" w:cs="Times New Roman"/>
          <w:sz w:val="24"/>
          <w:szCs w:val="24"/>
        </w:rPr>
        <w:t>beca</w:t>
      </w:r>
      <w:r w:rsidR="001F38F4">
        <w:rPr>
          <w:rFonts w:ascii="Times New Roman" w:hAnsi="Times New Roman" w:cs="Times New Roman"/>
          <w:sz w:val="24"/>
          <w:szCs w:val="24"/>
        </w:rPr>
        <w:t xml:space="preserve">me </w:t>
      </w:r>
      <w:r w:rsidR="00241AA2">
        <w:rPr>
          <w:rFonts w:ascii="Times New Roman" w:hAnsi="Times New Roman" w:cs="Times New Roman"/>
          <w:sz w:val="24"/>
          <w:szCs w:val="24"/>
        </w:rPr>
        <w:t xml:space="preserve">D’s </w:t>
      </w:r>
      <w:r w:rsidRPr="00C535F2">
        <w:rPr>
          <w:rFonts w:ascii="Times New Roman" w:hAnsi="Times New Roman" w:cs="Times New Roman"/>
          <w:sz w:val="24"/>
          <w:szCs w:val="24"/>
        </w:rPr>
        <w:t xml:space="preserve">by accession. </w:t>
      </w:r>
      <w:r w:rsidR="00D96441">
        <w:rPr>
          <w:rFonts w:ascii="Times New Roman" w:hAnsi="Times New Roman" w:cs="Times New Roman"/>
          <w:sz w:val="24"/>
          <w:szCs w:val="24"/>
        </w:rPr>
        <w:t>The</w:t>
      </w:r>
      <w:r w:rsidR="00BD2D54">
        <w:rPr>
          <w:rFonts w:ascii="Times New Roman" w:hAnsi="Times New Roman" w:cs="Times New Roman"/>
          <w:sz w:val="24"/>
          <w:szCs w:val="24"/>
        </w:rPr>
        <w:t>r</w:t>
      </w:r>
      <w:r w:rsidR="00D96441">
        <w:rPr>
          <w:rFonts w:ascii="Times New Roman" w:hAnsi="Times New Roman" w:cs="Times New Roman"/>
          <w:sz w:val="24"/>
          <w:szCs w:val="24"/>
        </w:rPr>
        <w:t xml:space="preserve">e had therefore been no </w:t>
      </w:r>
      <w:r w:rsidR="001F38F4">
        <w:rPr>
          <w:rFonts w:ascii="Times New Roman" w:hAnsi="Times New Roman" w:cs="Times New Roman"/>
          <w:sz w:val="24"/>
          <w:szCs w:val="24"/>
        </w:rPr>
        <w:t>“</w:t>
      </w:r>
      <w:r w:rsidRPr="00C535F2">
        <w:rPr>
          <w:rFonts w:ascii="Times New Roman" w:hAnsi="Times New Roman" w:cs="Times New Roman"/>
          <w:sz w:val="24"/>
          <w:szCs w:val="24"/>
        </w:rPr>
        <w:t>transfer</w:t>
      </w:r>
      <w:r w:rsidR="001F38F4">
        <w:rPr>
          <w:rFonts w:ascii="Times New Roman" w:hAnsi="Times New Roman" w:cs="Times New Roman"/>
          <w:sz w:val="24"/>
          <w:szCs w:val="24"/>
        </w:rPr>
        <w:t>”</w:t>
      </w:r>
      <w:r w:rsidRPr="00C535F2">
        <w:rPr>
          <w:rFonts w:ascii="Times New Roman" w:hAnsi="Times New Roman" w:cs="Times New Roman"/>
          <w:sz w:val="24"/>
          <w:szCs w:val="24"/>
        </w:rPr>
        <w:t xml:space="preserve"> </w:t>
      </w:r>
      <w:r w:rsidR="00D96441">
        <w:rPr>
          <w:rFonts w:ascii="Times New Roman" w:hAnsi="Times New Roman" w:cs="Times New Roman"/>
          <w:sz w:val="24"/>
          <w:szCs w:val="24"/>
        </w:rPr>
        <w:t xml:space="preserve">to </w:t>
      </w:r>
      <w:r w:rsidR="00241AA2">
        <w:rPr>
          <w:rFonts w:ascii="Times New Roman" w:hAnsi="Times New Roman" w:cs="Times New Roman"/>
          <w:sz w:val="24"/>
          <w:szCs w:val="24"/>
        </w:rPr>
        <w:t>D</w:t>
      </w:r>
      <w:r w:rsidR="00D96441">
        <w:rPr>
          <w:rFonts w:ascii="Times New Roman" w:hAnsi="Times New Roman" w:cs="Times New Roman"/>
          <w:sz w:val="24"/>
          <w:szCs w:val="24"/>
        </w:rPr>
        <w:t xml:space="preserve"> as is required </w:t>
      </w:r>
      <w:r w:rsidRPr="00C535F2">
        <w:rPr>
          <w:rFonts w:ascii="Times New Roman" w:hAnsi="Times New Roman" w:cs="Times New Roman"/>
          <w:sz w:val="24"/>
          <w:szCs w:val="24"/>
        </w:rPr>
        <w:t xml:space="preserve">of the </w:t>
      </w:r>
      <w:r w:rsidRPr="001F38F4">
        <w:rPr>
          <w:rFonts w:ascii="Times New Roman" w:hAnsi="Times New Roman" w:cs="Times New Roman"/>
          <w:i/>
          <w:sz w:val="24"/>
          <w:szCs w:val="24"/>
        </w:rPr>
        <w:t>condictio</w:t>
      </w:r>
      <w:r w:rsidRPr="00C535F2">
        <w:rPr>
          <w:rFonts w:ascii="Times New Roman" w:hAnsi="Times New Roman" w:cs="Times New Roman"/>
          <w:sz w:val="24"/>
          <w:szCs w:val="24"/>
        </w:rPr>
        <w:t xml:space="preserve"> </w:t>
      </w:r>
      <w:r w:rsidR="00D96441">
        <w:rPr>
          <w:rFonts w:ascii="Times New Roman" w:hAnsi="Times New Roman" w:cs="Times New Roman"/>
          <w:sz w:val="24"/>
          <w:szCs w:val="24"/>
        </w:rPr>
        <w:t xml:space="preserve">if it is conceived as a remedy restricted to the recovery of </w:t>
      </w:r>
      <w:r w:rsidRPr="00C535F2">
        <w:rPr>
          <w:rFonts w:ascii="Times New Roman" w:hAnsi="Times New Roman" w:cs="Times New Roman"/>
          <w:sz w:val="24"/>
          <w:szCs w:val="24"/>
        </w:rPr>
        <w:t xml:space="preserve">money </w:t>
      </w:r>
      <w:r w:rsidR="00D96441" w:rsidRPr="00BD2D54">
        <w:rPr>
          <w:rFonts w:ascii="Times New Roman" w:hAnsi="Times New Roman" w:cs="Times New Roman"/>
          <w:i/>
          <w:sz w:val="24"/>
          <w:szCs w:val="24"/>
        </w:rPr>
        <w:t>paid</w:t>
      </w:r>
      <w:r w:rsidR="00D96441">
        <w:rPr>
          <w:rFonts w:ascii="Times New Roman" w:hAnsi="Times New Roman" w:cs="Times New Roman"/>
          <w:sz w:val="24"/>
          <w:szCs w:val="24"/>
        </w:rPr>
        <w:t xml:space="preserve"> </w:t>
      </w:r>
      <w:r w:rsidRPr="00C535F2">
        <w:rPr>
          <w:rFonts w:ascii="Times New Roman" w:hAnsi="Times New Roman" w:cs="Times New Roman"/>
          <w:sz w:val="24"/>
          <w:szCs w:val="24"/>
        </w:rPr>
        <w:t xml:space="preserve">or </w:t>
      </w:r>
      <w:r w:rsidR="001F38F4">
        <w:rPr>
          <w:rFonts w:ascii="Times New Roman" w:hAnsi="Times New Roman" w:cs="Times New Roman"/>
          <w:sz w:val="24"/>
          <w:szCs w:val="24"/>
        </w:rPr>
        <w:t xml:space="preserve">specific </w:t>
      </w:r>
      <w:r w:rsidRPr="00C535F2">
        <w:rPr>
          <w:rFonts w:ascii="Times New Roman" w:hAnsi="Times New Roman" w:cs="Times New Roman"/>
          <w:sz w:val="24"/>
          <w:szCs w:val="24"/>
        </w:rPr>
        <w:t xml:space="preserve">items </w:t>
      </w:r>
      <w:r w:rsidR="00D96441" w:rsidRPr="00BD2D54">
        <w:rPr>
          <w:rFonts w:ascii="Times New Roman" w:hAnsi="Times New Roman" w:cs="Times New Roman"/>
          <w:i/>
          <w:sz w:val="24"/>
          <w:szCs w:val="24"/>
        </w:rPr>
        <w:t>transferred</w:t>
      </w:r>
      <w:r w:rsidR="00D96441">
        <w:rPr>
          <w:rFonts w:ascii="Times New Roman" w:hAnsi="Times New Roman" w:cs="Times New Roman"/>
          <w:sz w:val="24"/>
          <w:szCs w:val="24"/>
        </w:rPr>
        <w:t xml:space="preserve">. </w:t>
      </w:r>
      <w:r w:rsidRPr="00C535F2">
        <w:rPr>
          <w:rFonts w:ascii="Times New Roman" w:hAnsi="Times New Roman" w:cs="Times New Roman"/>
          <w:sz w:val="24"/>
          <w:szCs w:val="24"/>
        </w:rPr>
        <w:t xml:space="preserve">The enrichment effected by the services provided by the garage and/or the replacement of the truck’s parts could then only be characterized as improvements to the defendant’s property rather than </w:t>
      </w:r>
      <w:r w:rsidR="00BD2D54">
        <w:rPr>
          <w:rFonts w:ascii="Times New Roman" w:hAnsi="Times New Roman" w:cs="Times New Roman"/>
          <w:sz w:val="24"/>
          <w:szCs w:val="24"/>
        </w:rPr>
        <w:t>“</w:t>
      </w:r>
      <w:r w:rsidRPr="00C535F2">
        <w:rPr>
          <w:rFonts w:ascii="Times New Roman" w:hAnsi="Times New Roman" w:cs="Times New Roman"/>
          <w:sz w:val="24"/>
          <w:szCs w:val="24"/>
        </w:rPr>
        <w:t>transfers</w:t>
      </w:r>
      <w:r w:rsidR="00BD2D54">
        <w:rPr>
          <w:rFonts w:ascii="Times New Roman" w:hAnsi="Times New Roman" w:cs="Times New Roman"/>
          <w:sz w:val="24"/>
          <w:szCs w:val="24"/>
        </w:rPr>
        <w:t>”</w:t>
      </w:r>
      <w:r w:rsidRPr="00C535F2">
        <w:rPr>
          <w:rFonts w:ascii="Times New Roman" w:hAnsi="Times New Roman" w:cs="Times New Roman"/>
          <w:sz w:val="24"/>
          <w:szCs w:val="24"/>
        </w:rPr>
        <w:t xml:space="preserve"> of goods and services to the defendant or anyone else for that matter.</w:t>
      </w:r>
    </w:p>
    <w:p w14:paraId="4C6965C8" w14:textId="093024EB" w:rsidR="00C535F2" w:rsidRPr="00C535F2" w:rsidRDefault="00C535F2" w:rsidP="00F43197">
      <w:pPr>
        <w:spacing w:after="0" w:line="360" w:lineRule="auto"/>
        <w:jc w:val="both"/>
        <w:rPr>
          <w:rFonts w:ascii="Times New Roman" w:hAnsi="Times New Roman" w:cs="Times New Roman"/>
          <w:sz w:val="24"/>
          <w:szCs w:val="24"/>
        </w:rPr>
      </w:pPr>
      <w:r w:rsidRPr="00C535F2">
        <w:rPr>
          <w:rFonts w:ascii="Times New Roman" w:hAnsi="Times New Roman" w:cs="Times New Roman"/>
          <w:sz w:val="24"/>
          <w:szCs w:val="24"/>
        </w:rPr>
        <w:t xml:space="preserve">Drawing on the modern reconceptualization of the </w:t>
      </w:r>
      <w:r w:rsidRPr="00C535F2">
        <w:rPr>
          <w:rFonts w:ascii="Times New Roman" w:hAnsi="Times New Roman" w:cs="Times New Roman"/>
          <w:i/>
          <w:sz w:val="24"/>
          <w:szCs w:val="24"/>
        </w:rPr>
        <w:t>condictio,</w:t>
      </w:r>
      <w:r w:rsidRPr="00C535F2">
        <w:rPr>
          <w:rFonts w:ascii="Times New Roman" w:hAnsi="Times New Roman" w:cs="Times New Roman"/>
          <w:sz w:val="24"/>
          <w:szCs w:val="24"/>
        </w:rPr>
        <w:t xml:space="preserve"> both Visser and Du Plessis argue against the understanding of </w:t>
      </w:r>
      <w:r w:rsidR="00BD2D54">
        <w:rPr>
          <w:rFonts w:ascii="Times New Roman" w:hAnsi="Times New Roman" w:cs="Times New Roman"/>
          <w:sz w:val="24"/>
          <w:szCs w:val="24"/>
        </w:rPr>
        <w:t>“</w:t>
      </w:r>
      <w:r w:rsidRPr="00C535F2">
        <w:rPr>
          <w:rFonts w:ascii="Times New Roman" w:hAnsi="Times New Roman" w:cs="Times New Roman"/>
          <w:sz w:val="24"/>
          <w:szCs w:val="24"/>
        </w:rPr>
        <w:t>transfer</w:t>
      </w:r>
      <w:r w:rsidR="00BD2D54">
        <w:rPr>
          <w:rFonts w:ascii="Times New Roman" w:hAnsi="Times New Roman" w:cs="Times New Roman"/>
          <w:sz w:val="24"/>
          <w:szCs w:val="24"/>
        </w:rPr>
        <w:t>”</w:t>
      </w:r>
      <w:r w:rsidRPr="00C535F2">
        <w:rPr>
          <w:rFonts w:ascii="Times New Roman" w:hAnsi="Times New Roman" w:cs="Times New Roman"/>
          <w:sz w:val="24"/>
          <w:szCs w:val="24"/>
        </w:rPr>
        <w:t xml:space="preserve"> applied in </w:t>
      </w:r>
      <w:r w:rsidRPr="00C535F2">
        <w:rPr>
          <w:rFonts w:ascii="Times New Roman" w:hAnsi="Times New Roman" w:cs="Times New Roman"/>
          <w:i/>
          <w:sz w:val="24"/>
          <w:szCs w:val="24"/>
        </w:rPr>
        <w:t>McCarthy</w:t>
      </w:r>
      <w:r w:rsidRPr="00C535F2">
        <w:rPr>
          <w:rFonts w:ascii="Times New Roman" w:hAnsi="Times New Roman" w:cs="Times New Roman"/>
          <w:sz w:val="24"/>
          <w:szCs w:val="24"/>
        </w:rPr>
        <w:t>, although not against this aspect of the decision specifically.</w:t>
      </w:r>
      <w:r w:rsidRPr="00C535F2">
        <w:rPr>
          <w:rStyle w:val="FootnoteReference"/>
          <w:rFonts w:ascii="Times New Roman" w:hAnsi="Times New Roman" w:cs="Times New Roman"/>
          <w:sz w:val="24"/>
          <w:szCs w:val="24"/>
        </w:rPr>
        <w:footnoteReference w:id="48"/>
      </w:r>
      <w:r w:rsidRPr="00C535F2">
        <w:rPr>
          <w:rFonts w:ascii="Times New Roman" w:hAnsi="Times New Roman" w:cs="Times New Roman"/>
          <w:sz w:val="24"/>
          <w:szCs w:val="24"/>
        </w:rPr>
        <w:t xml:space="preserve"> They both develop a concept of “transfer” for use in unjustified enrichment</w:t>
      </w:r>
      <w:r w:rsidR="00BD2D54">
        <w:rPr>
          <w:rFonts w:ascii="Times New Roman" w:hAnsi="Times New Roman" w:cs="Times New Roman"/>
          <w:sz w:val="24"/>
          <w:szCs w:val="24"/>
        </w:rPr>
        <w:t xml:space="preserve"> along the lines of </w:t>
      </w:r>
      <w:r w:rsidRPr="00C535F2">
        <w:rPr>
          <w:rFonts w:ascii="Times New Roman" w:hAnsi="Times New Roman" w:cs="Times New Roman"/>
          <w:sz w:val="24"/>
          <w:szCs w:val="24"/>
        </w:rPr>
        <w:t>deliberate conferral of a benefit</w:t>
      </w:r>
      <w:r w:rsidR="00BD2D54">
        <w:rPr>
          <w:rFonts w:ascii="Times New Roman" w:hAnsi="Times New Roman" w:cs="Times New Roman"/>
          <w:sz w:val="24"/>
          <w:szCs w:val="24"/>
        </w:rPr>
        <w:t xml:space="preserve"> in Scots law </w:t>
      </w:r>
      <w:r w:rsidRPr="00C535F2">
        <w:rPr>
          <w:rFonts w:ascii="Times New Roman" w:hAnsi="Times New Roman" w:cs="Times New Roman"/>
          <w:sz w:val="24"/>
          <w:szCs w:val="24"/>
        </w:rPr>
        <w:t>which includes the transfer of money, property and also services. They use this concept</w:t>
      </w:r>
      <w:r w:rsidR="00BD2D54">
        <w:rPr>
          <w:rFonts w:ascii="Times New Roman" w:hAnsi="Times New Roman" w:cs="Times New Roman"/>
          <w:sz w:val="24"/>
          <w:szCs w:val="24"/>
        </w:rPr>
        <w:t>ualis</w:t>
      </w:r>
      <w:r w:rsidR="003A3F72">
        <w:rPr>
          <w:rFonts w:ascii="Times New Roman" w:hAnsi="Times New Roman" w:cs="Times New Roman"/>
          <w:sz w:val="24"/>
          <w:szCs w:val="24"/>
        </w:rPr>
        <w:t>a</w:t>
      </w:r>
      <w:r w:rsidR="00BD2D54">
        <w:rPr>
          <w:rFonts w:ascii="Times New Roman" w:hAnsi="Times New Roman" w:cs="Times New Roman"/>
          <w:sz w:val="24"/>
          <w:szCs w:val="24"/>
        </w:rPr>
        <w:t>tion</w:t>
      </w:r>
      <w:r w:rsidRPr="00C535F2">
        <w:rPr>
          <w:rFonts w:ascii="Times New Roman" w:hAnsi="Times New Roman" w:cs="Times New Roman"/>
          <w:sz w:val="24"/>
          <w:szCs w:val="24"/>
        </w:rPr>
        <w:t xml:space="preserve"> to define the category of claims arising from “Enrichment by Transfer” broadly corresponding with what were the </w:t>
      </w:r>
      <w:r w:rsidRPr="00C535F2">
        <w:rPr>
          <w:rFonts w:ascii="Times New Roman" w:hAnsi="Times New Roman" w:cs="Times New Roman"/>
          <w:i/>
          <w:sz w:val="24"/>
          <w:szCs w:val="24"/>
        </w:rPr>
        <w:t>condictio</w:t>
      </w:r>
      <w:r w:rsidRPr="00C535F2">
        <w:rPr>
          <w:rFonts w:ascii="Times New Roman" w:hAnsi="Times New Roman" w:cs="Times New Roman"/>
          <w:sz w:val="24"/>
          <w:szCs w:val="24"/>
        </w:rPr>
        <w:t xml:space="preserve"> claims. This is a perfectly sensible proposal and as noted by Helen Scott the view is “compelling, supported as it is by comparative law and arguments from principle.”</w:t>
      </w:r>
      <w:r w:rsidRPr="00C535F2">
        <w:rPr>
          <w:rStyle w:val="FootnoteReference"/>
          <w:rFonts w:ascii="Times New Roman" w:hAnsi="Times New Roman" w:cs="Times New Roman"/>
          <w:sz w:val="24"/>
          <w:szCs w:val="24"/>
        </w:rPr>
        <w:footnoteReference w:id="49"/>
      </w:r>
    </w:p>
    <w:p w14:paraId="02728FCA" w14:textId="77777777"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Applying this broader conception of transfer gives us an avenue to explore how it is that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could be a multiparty case as suggested by Visser. If the enrichment in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consists of the repairs to the truck, or more specifically the increased value of the truck arising from its improvement by being repaired, there is little or no scope for any ambiguity about the parties involved. The garage was the sole source of such repairs and the owner is the only party who could benefit from the increase in value of the truck. Schutz JA’s assertion that this was not a multiparty case, because there was no one else at whose expense the owner could have been enriched, makes sense. However, if the enrichment potentially consisted not in the repairs but in the performance of a service by the garage a potential third party is introduced, the insurer.</w:t>
      </w:r>
    </w:p>
    <w:p w14:paraId="0002DB9A" w14:textId="23914433" w:rsidR="000C3F84"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Where the enrichment is characterized as consisting of the service of repairing the truck it remains the case that the enrichment could only have come at the expense of the garage. However, it is no longer certain that it was the owner of the truck, Shortdistance Carriers, which was then the party being enriched. By repairing the truck the garage acted with the intention of discharging an obligation that it believed it owed to the insurer.</w:t>
      </w:r>
      <w:r w:rsidRPr="00C535F2">
        <w:rPr>
          <w:rStyle w:val="FootnoteReference"/>
          <w:rFonts w:ascii="Times New Roman" w:hAnsi="Times New Roman" w:cs="Times New Roman"/>
          <w:sz w:val="24"/>
          <w:szCs w:val="24"/>
        </w:rPr>
        <w:footnoteReference w:id="50"/>
      </w:r>
      <w:r w:rsidRPr="00C535F2">
        <w:rPr>
          <w:rFonts w:ascii="Times New Roman" w:hAnsi="Times New Roman" w:cs="Times New Roman"/>
          <w:sz w:val="24"/>
          <w:szCs w:val="24"/>
        </w:rPr>
        <w:t xml:space="preserve"> It was on the insurer that the garage intended to confer the benefit of repairing the truck, and it was to the insurer that the </w:t>
      </w:r>
      <w:r w:rsidR="003576E2">
        <w:rPr>
          <w:rFonts w:ascii="Times New Roman" w:hAnsi="Times New Roman" w:cs="Times New Roman"/>
          <w:sz w:val="24"/>
          <w:szCs w:val="24"/>
        </w:rPr>
        <w:t>“</w:t>
      </w:r>
      <w:r w:rsidRPr="00C535F2">
        <w:rPr>
          <w:rFonts w:ascii="Times New Roman" w:hAnsi="Times New Roman" w:cs="Times New Roman"/>
          <w:sz w:val="24"/>
          <w:szCs w:val="24"/>
        </w:rPr>
        <w:t>transfer</w:t>
      </w:r>
      <w:r w:rsidR="003576E2">
        <w:rPr>
          <w:rFonts w:ascii="Times New Roman" w:hAnsi="Times New Roman" w:cs="Times New Roman"/>
          <w:sz w:val="24"/>
          <w:szCs w:val="24"/>
        </w:rPr>
        <w:t>”</w:t>
      </w:r>
      <w:r w:rsidRPr="00C535F2">
        <w:rPr>
          <w:rFonts w:ascii="Times New Roman" w:hAnsi="Times New Roman" w:cs="Times New Roman"/>
          <w:sz w:val="24"/>
          <w:szCs w:val="24"/>
        </w:rPr>
        <w:t xml:space="preserve"> </w:t>
      </w:r>
      <w:r w:rsidR="003576E2">
        <w:rPr>
          <w:rFonts w:ascii="Times New Roman" w:hAnsi="Times New Roman" w:cs="Times New Roman"/>
          <w:sz w:val="24"/>
          <w:szCs w:val="24"/>
        </w:rPr>
        <w:t xml:space="preserve">was </w:t>
      </w:r>
      <w:r w:rsidRPr="00C535F2">
        <w:rPr>
          <w:rFonts w:ascii="Times New Roman" w:hAnsi="Times New Roman" w:cs="Times New Roman"/>
          <w:sz w:val="24"/>
          <w:szCs w:val="24"/>
        </w:rPr>
        <w:t>made.</w:t>
      </w:r>
      <w:r w:rsidRPr="00C535F2">
        <w:rPr>
          <w:rStyle w:val="FootnoteReference"/>
          <w:rFonts w:ascii="Times New Roman" w:hAnsi="Times New Roman" w:cs="Times New Roman"/>
          <w:sz w:val="24"/>
          <w:szCs w:val="24"/>
        </w:rPr>
        <w:footnoteReference w:id="51"/>
      </w:r>
      <w:r w:rsidRPr="00C535F2">
        <w:rPr>
          <w:rFonts w:ascii="Times New Roman" w:hAnsi="Times New Roman" w:cs="Times New Roman"/>
          <w:sz w:val="24"/>
          <w:szCs w:val="24"/>
        </w:rPr>
        <w:t xml:space="preserve"> Further, the insurer was potentially saved the expense of repairing the truck or compensating the insured, a legal obligation </w:t>
      </w:r>
      <w:r w:rsidR="003576E2">
        <w:rPr>
          <w:rFonts w:ascii="Times New Roman" w:hAnsi="Times New Roman" w:cs="Times New Roman"/>
          <w:sz w:val="24"/>
          <w:szCs w:val="24"/>
        </w:rPr>
        <w:t xml:space="preserve">that it </w:t>
      </w:r>
      <w:r w:rsidRPr="00C535F2">
        <w:rPr>
          <w:rFonts w:ascii="Times New Roman" w:hAnsi="Times New Roman" w:cs="Times New Roman"/>
          <w:sz w:val="24"/>
          <w:szCs w:val="24"/>
        </w:rPr>
        <w:t xml:space="preserve">owed to the owner. On this analysis it is the insurer that was enriched by the “transfer” of the services provided to it at the expense of the garage. The absence of a valid contractual obligation owed to the insurer by the garage would make this enrichment unjustified and allow for the application of the </w:t>
      </w:r>
      <w:r w:rsidRPr="00C535F2">
        <w:rPr>
          <w:rFonts w:ascii="Times New Roman" w:hAnsi="Times New Roman" w:cs="Times New Roman"/>
          <w:i/>
          <w:sz w:val="24"/>
          <w:szCs w:val="24"/>
        </w:rPr>
        <w:t>condictio indebiti</w:t>
      </w:r>
      <w:r w:rsidRPr="00C535F2">
        <w:rPr>
          <w:rFonts w:ascii="Times New Roman" w:hAnsi="Times New Roman" w:cs="Times New Roman"/>
          <w:sz w:val="24"/>
          <w:szCs w:val="24"/>
        </w:rPr>
        <w:t>.</w:t>
      </w:r>
    </w:p>
    <w:p w14:paraId="08AF64AA" w14:textId="4AFF40F9" w:rsidR="00042AA8" w:rsidRDefault="00060812" w:rsidP="00F43197">
      <w:pPr>
        <w:spacing w:after="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(2) </w:t>
      </w:r>
      <w:r w:rsidR="00042AA8">
        <w:rPr>
          <w:rFonts w:ascii="Times New Roman" w:hAnsi="Times New Roman" w:cs="Times New Roman"/>
          <w:i/>
          <w:iCs/>
          <w:sz w:val="24"/>
          <w:szCs w:val="24"/>
        </w:rPr>
        <w:t>Outcome of McCarthy as a condictio indebiti claim</w:t>
      </w:r>
    </w:p>
    <w:p w14:paraId="4BB57D55" w14:textId="3D194505" w:rsidR="003E0C7C" w:rsidRDefault="004F4646" w:rsidP="00F431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17061E">
        <w:rPr>
          <w:rFonts w:ascii="Times New Roman" w:hAnsi="Times New Roman" w:cs="Times New Roman"/>
          <w:sz w:val="24"/>
          <w:szCs w:val="24"/>
        </w:rPr>
        <w:t xml:space="preserve">or such a claim to succeed the garage would need to </w:t>
      </w:r>
      <w:r w:rsidR="00847B05">
        <w:rPr>
          <w:rFonts w:ascii="Times New Roman" w:hAnsi="Times New Roman" w:cs="Times New Roman"/>
          <w:sz w:val="24"/>
          <w:szCs w:val="24"/>
        </w:rPr>
        <w:t>prove</w:t>
      </w:r>
      <w:r w:rsidR="0017061E">
        <w:rPr>
          <w:rFonts w:ascii="Times New Roman" w:hAnsi="Times New Roman" w:cs="Times New Roman"/>
          <w:sz w:val="24"/>
          <w:szCs w:val="24"/>
        </w:rPr>
        <w:t xml:space="preserve"> that the insurer was</w:t>
      </w:r>
      <w:r w:rsidR="00847B05">
        <w:rPr>
          <w:rFonts w:ascii="Times New Roman" w:hAnsi="Times New Roman" w:cs="Times New Roman"/>
          <w:sz w:val="24"/>
          <w:szCs w:val="24"/>
        </w:rPr>
        <w:t xml:space="preserve"> in fact</w:t>
      </w:r>
      <w:r w:rsidR="0017061E">
        <w:rPr>
          <w:rFonts w:ascii="Times New Roman" w:hAnsi="Times New Roman" w:cs="Times New Roman"/>
          <w:sz w:val="24"/>
          <w:szCs w:val="24"/>
        </w:rPr>
        <w:t xml:space="preserve"> enriched</w:t>
      </w:r>
      <w:r w:rsidR="00847B05">
        <w:rPr>
          <w:rFonts w:ascii="Times New Roman" w:hAnsi="Times New Roman" w:cs="Times New Roman"/>
          <w:sz w:val="24"/>
          <w:szCs w:val="24"/>
        </w:rPr>
        <w:t xml:space="preserve"> by its services.</w:t>
      </w:r>
      <w:r w:rsidR="0017061E">
        <w:rPr>
          <w:rFonts w:ascii="Times New Roman" w:hAnsi="Times New Roman" w:cs="Times New Roman"/>
          <w:sz w:val="24"/>
          <w:szCs w:val="24"/>
        </w:rPr>
        <w:t xml:space="preserve"> </w:t>
      </w:r>
      <w:r w:rsidR="003E0C7C">
        <w:rPr>
          <w:rFonts w:ascii="Times New Roman" w:hAnsi="Times New Roman" w:cs="Times New Roman"/>
          <w:sz w:val="24"/>
          <w:szCs w:val="24"/>
        </w:rPr>
        <w:t xml:space="preserve">Although it </w:t>
      </w:r>
      <w:r w:rsidR="00032724">
        <w:rPr>
          <w:rFonts w:ascii="Times New Roman" w:hAnsi="Times New Roman" w:cs="Times New Roman"/>
          <w:sz w:val="24"/>
          <w:szCs w:val="24"/>
        </w:rPr>
        <w:t>may be</w:t>
      </w:r>
      <w:r w:rsidR="003E0C7C">
        <w:rPr>
          <w:rFonts w:ascii="Times New Roman" w:hAnsi="Times New Roman" w:cs="Times New Roman"/>
          <w:sz w:val="24"/>
          <w:szCs w:val="24"/>
        </w:rPr>
        <w:t xml:space="preserve"> possible to argue that the insurer was</w:t>
      </w:r>
      <w:r w:rsidR="0017061E">
        <w:rPr>
          <w:rFonts w:ascii="Times New Roman" w:hAnsi="Times New Roman" w:cs="Times New Roman"/>
          <w:sz w:val="24"/>
          <w:szCs w:val="24"/>
        </w:rPr>
        <w:t xml:space="preserve"> initially</w:t>
      </w:r>
      <w:r w:rsidR="003E0C7C">
        <w:rPr>
          <w:rFonts w:ascii="Times New Roman" w:hAnsi="Times New Roman" w:cs="Times New Roman"/>
          <w:sz w:val="24"/>
          <w:szCs w:val="24"/>
        </w:rPr>
        <w:t xml:space="preserve"> enriched by the repairs</w:t>
      </w:r>
      <w:r w:rsidR="0017061E">
        <w:rPr>
          <w:rFonts w:ascii="Times New Roman" w:hAnsi="Times New Roman" w:cs="Times New Roman"/>
          <w:sz w:val="24"/>
          <w:szCs w:val="24"/>
        </w:rPr>
        <w:t>,</w:t>
      </w:r>
      <w:r w:rsidR="003E0C7C">
        <w:rPr>
          <w:rFonts w:ascii="Times New Roman" w:hAnsi="Times New Roman" w:cs="Times New Roman"/>
          <w:sz w:val="24"/>
          <w:szCs w:val="24"/>
        </w:rPr>
        <w:t xml:space="preserve"> it would seem to be the case that the</w:t>
      </w:r>
      <w:r w:rsidR="005E1480">
        <w:rPr>
          <w:rFonts w:ascii="Times New Roman" w:hAnsi="Times New Roman" w:cs="Times New Roman"/>
          <w:sz w:val="24"/>
          <w:szCs w:val="24"/>
        </w:rPr>
        <w:t xml:space="preserve"> insurer was not enriched at the time the garage brought its claim. </w:t>
      </w:r>
      <w:r w:rsidR="00032724">
        <w:rPr>
          <w:rFonts w:ascii="Times New Roman" w:hAnsi="Times New Roman" w:cs="Times New Roman"/>
          <w:sz w:val="24"/>
          <w:szCs w:val="24"/>
        </w:rPr>
        <w:t>Let us</w:t>
      </w:r>
      <w:r w:rsidR="005E1480">
        <w:rPr>
          <w:rFonts w:ascii="Times New Roman" w:hAnsi="Times New Roman" w:cs="Times New Roman"/>
          <w:sz w:val="24"/>
          <w:szCs w:val="24"/>
        </w:rPr>
        <w:t xml:space="preserve"> put aside the difficulties of establishing that the insurer’s obligations to “reimburse the owner in one way or another should his truck be damaged”</w:t>
      </w:r>
      <w:r w:rsidR="00560326">
        <w:rPr>
          <w:rStyle w:val="FootnoteReference"/>
          <w:rFonts w:ascii="Times New Roman" w:hAnsi="Times New Roman" w:cs="Times New Roman"/>
          <w:sz w:val="24"/>
          <w:szCs w:val="24"/>
        </w:rPr>
        <w:footnoteReference w:id="52"/>
      </w:r>
      <w:r w:rsidR="005E1480">
        <w:rPr>
          <w:rFonts w:ascii="Times New Roman" w:hAnsi="Times New Roman" w:cs="Times New Roman"/>
          <w:sz w:val="24"/>
          <w:szCs w:val="24"/>
        </w:rPr>
        <w:t xml:space="preserve"> were discharged by the repairs. Instead we can focus on the</w:t>
      </w:r>
      <w:r w:rsidR="0017061E">
        <w:rPr>
          <w:rFonts w:ascii="Times New Roman" w:hAnsi="Times New Roman" w:cs="Times New Roman"/>
          <w:sz w:val="24"/>
          <w:szCs w:val="24"/>
        </w:rPr>
        <w:t xml:space="preserve"> question of whether or not the insurer was enriched at the time the garage brought its claim. By that time</w:t>
      </w:r>
      <w:r w:rsidR="005E1480">
        <w:rPr>
          <w:rFonts w:ascii="Times New Roman" w:hAnsi="Times New Roman" w:cs="Times New Roman"/>
          <w:sz w:val="24"/>
          <w:szCs w:val="24"/>
        </w:rPr>
        <w:t xml:space="preserve"> the owner</w:t>
      </w:r>
      <w:r w:rsidR="00890500">
        <w:rPr>
          <w:rFonts w:ascii="Times New Roman" w:hAnsi="Times New Roman" w:cs="Times New Roman"/>
          <w:sz w:val="24"/>
          <w:szCs w:val="24"/>
        </w:rPr>
        <w:t xml:space="preserve"> would have been unable to enforce the claim against the insurer.</w:t>
      </w:r>
      <w:r w:rsidR="005E1480">
        <w:rPr>
          <w:rFonts w:ascii="Times New Roman" w:hAnsi="Times New Roman" w:cs="Times New Roman"/>
          <w:sz w:val="24"/>
          <w:szCs w:val="24"/>
        </w:rPr>
        <w:t xml:space="preserve"> </w:t>
      </w:r>
      <w:r w:rsidR="00890500">
        <w:rPr>
          <w:rFonts w:ascii="Times New Roman" w:hAnsi="Times New Roman" w:cs="Times New Roman"/>
          <w:sz w:val="24"/>
          <w:szCs w:val="24"/>
        </w:rPr>
        <w:t>A</w:t>
      </w:r>
      <w:r w:rsidR="0017061E">
        <w:rPr>
          <w:rFonts w:ascii="Times New Roman" w:hAnsi="Times New Roman" w:cs="Times New Roman"/>
          <w:sz w:val="24"/>
          <w:szCs w:val="24"/>
        </w:rPr>
        <w:t>s a result,</w:t>
      </w:r>
      <w:r w:rsidR="005E1480">
        <w:rPr>
          <w:rFonts w:ascii="Times New Roman" w:hAnsi="Times New Roman" w:cs="Times New Roman"/>
          <w:sz w:val="24"/>
          <w:szCs w:val="24"/>
        </w:rPr>
        <w:t xml:space="preserve"> it would seem that </w:t>
      </w:r>
      <w:r w:rsidR="0017061E">
        <w:rPr>
          <w:rFonts w:ascii="Times New Roman" w:hAnsi="Times New Roman" w:cs="Times New Roman"/>
          <w:sz w:val="24"/>
          <w:szCs w:val="24"/>
        </w:rPr>
        <w:t>the</w:t>
      </w:r>
      <w:r w:rsidR="005E1480">
        <w:rPr>
          <w:rFonts w:ascii="Times New Roman" w:hAnsi="Times New Roman" w:cs="Times New Roman"/>
          <w:sz w:val="24"/>
          <w:szCs w:val="24"/>
        </w:rPr>
        <w:t xml:space="preserve"> </w:t>
      </w:r>
      <w:r w:rsidR="0017061E">
        <w:rPr>
          <w:rFonts w:ascii="Times New Roman" w:hAnsi="Times New Roman" w:cs="Times New Roman"/>
          <w:sz w:val="24"/>
          <w:szCs w:val="24"/>
        </w:rPr>
        <w:t xml:space="preserve">insurer </w:t>
      </w:r>
      <w:r w:rsidR="00890500">
        <w:rPr>
          <w:rFonts w:ascii="Times New Roman" w:hAnsi="Times New Roman" w:cs="Times New Roman"/>
          <w:sz w:val="24"/>
          <w:szCs w:val="24"/>
        </w:rPr>
        <w:t>could argue that</w:t>
      </w:r>
      <w:r w:rsidR="00032724">
        <w:rPr>
          <w:rFonts w:ascii="Times New Roman" w:hAnsi="Times New Roman" w:cs="Times New Roman"/>
          <w:sz w:val="24"/>
          <w:szCs w:val="24"/>
        </w:rPr>
        <w:t xml:space="preserve"> even if it was the case that it was initially enriched</w:t>
      </w:r>
      <w:r w:rsidR="00890500">
        <w:rPr>
          <w:rFonts w:ascii="Times New Roman" w:hAnsi="Times New Roman" w:cs="Times New Roman"/>
          <w:sz w:val="24"/>
          <w:szCs w:val="24"/>
        </w:rPr>
        <w:t>, it was no longer enriched</w:t>
      </w:r>
      <w:r w:rsidR="00847B05">
        <w:rPr>
          <w:rFonts w:ascii="Times New Roman" w:hAnsi="Times New Roman" w:cs="Times New Roman"/>
          <w:sz w:val="24"/>
          <w:szCs w:val="24"/>
        </w:rPr>
        <w:t xml:space="preserve"> after the claim became unenforceable</w:t>
      </w:r>
      <w:r w:rsidR="005E1480">
        <w:rPr>
          <w:rFonts w:ascii="Times New Roman" w:hAnsi="Times New Roman" w:cs="Times New Roman"/>
          <w:sz w:val="24"/>
          <w:szCs w:val="24"/>
        </w:rPr>
        <w:t>.</w:t>
      </w:r>
      <w:r w:rsidR="0017061E">
        <w:rPr>
          <w:rFonts w:ascii="Times New Roman" w:hAnsi="Times New Roman" w:cs="Times New Roman"/>
          <w:sz w:val="24"/>
          <w:szCs w:val="24"/>
        </w:rPr>
        <w:t xml:space="preserve"> </w:t>
      </w:r>
      <w:r w:rsidR="00890500">
        <w:rPr>
          <w:rFonts w:ascii="Times New Roman" w:hAnsi="Times New Roman" w:cs="Times New Roman"/>
          <w:sz w:val="24"/>
          <w:szCs w:val="24"/>
        </w:rPr>
        <w:t>If the argument were accepted the</w:t>
      </w:r>
      <w:r w:rsidR="0017061E">
        <w:rPr>
          <w:rFonts w:ascii="Times New Roman" w:hAnsi="Times New Roman" w:cs="Times New Roman"/>
          <w:sz w:val="24"/>
          <w:szCs w:val="24"/>
        </w:rPr>
        <w:t xml:space="preserve"> condictio claim against the insurer would fail.</w:t>
      </w:r>
    </w:p>
    <w:p w14:paraId="0C95FC0A" w14:textId="77777777" w:rsidR="00890500" w:rsidRDefault="00890500" w:rsidP="00F431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what of the multiparty analysis one might ask. Could the garage, characterizing the enrichment as </w:t>
      </w:r>
      <w:r w:rsidR="00847B05">
        <w:rPr>
          <w:rFonts w:ascii="Times New Roman" w:hAnsi="Times New Roman" w:cs="Times New Roman"/>
          <w:sz w:val="24"/>
          <w:szCs w:val="24"/>
        </w:rPr>
        <w:t xml:space="preserve">the </w:t>
      </w:r>
      <w:r>
        <w:rPr>
          <w:rFonts w:ascii="Times New Roman" w:hAnsi="Times New Roman" w:cs="Times New Roman"/>
          <w:sz w:val="24"/>
          <w:szCs w:val="24"/>
        </w:rPr>
        <w:t>service of repairing the truck, perhaps bring a condictio claim against the owner. This would have to be on the basis that Shortdistance Carriers was now the party holding the enrichment which had initially been “transferred” to the insurer? So for instance in German law where a claim is barred against the immediate recipient of an enrichment in terms of §818(3) of the Bürgerliches Gesetzbuch (BGB) because such party is no longer enriched, a claim can potentially still be made in terms of §822 BGB against a gratuitous third party recipient of such enrichment.</w:t>
      </w:r>
      <w:r>
        <w:rPr>
          <w:rStyle w:val="FootnoteReference"/>
          <w:rFonts w:ascii="Times New Roman" w:hAnsi="Times New Roman" w:cs="Times New Roman"/>
          <w:sz w:val="24"/>
          <w:szCs w:val="24"/>
        </w:rPr>
        <w:footnoteReference w:id="53"/>
      </w:r>
    </w:p>
    <w:p w14:paraId="70F2D1D7" w14:textId="77777777" w:rsidR="00890500" w:rsidRDefault="004F4646" w:rsidP="00F431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890500">
        <w:rPr>
          <w:rFonts w:ascii="Times New Roman" w:hAnsi="Times New Roman" w:cs="Times New Roman"/>
          <w:sz w:val="24"/>
          <w:szCs w:val="24"/>
        </w:rPr>
        <w:t xml:space="preserve">n immediate difficulty with this analysis arises on the facts of </w:t>
      </w:r>
      <w:r w:rsidR="00890500">
        <w:rPr>
          <w:rFonts w:ascii="Times New Roman" w:hAnsi="Times New Roman" w:cs="Times New Roman"/>
          <w:i/>
          <w:sz w:val="24"/>
          <w:szCs w:val="24"/>
        </w:rPr>
        <w:t>McCarthy</w:t>
      </w:r>
      <w:r w:rsidR="00890500">
        <w:rPr>
          <w:rFonts w:ascii="Times New Roman" w:hAnsi="Times New Roman" w:cs="Times New Roman"/>
          <w:sz w:val="24"/>
          <w:szCs w:val="24"/>
        </w:rPr>
        <w:t xml:space="preserve">, that being that the contract between the insurer and Shortdistance Carriers. Any “transfer” of the enrichment from the insurer to Shortdistance carriers would not have been gratuitous. Shortdistance Carriers had paid insurance premiums after all. The “transfer” would therefore have the insurance contract as its foundation. This would provide a basis for the “transfer” even if the indemnity obligation of the insurer could not be enforced by Shortdistance carriers. This conclusion is supported by the South African position on sub-contractors set out in </w:t>
      </w:r>
      <w:r w:rsidR="00890500">
        <w:rPr>
          <w:rFonts w:ascii="Times New Roman" w:hAnsi="Times New Roman" w:cs="Times New Roman"/>
          <w:i/>
          <w:sz w:val="24"/>
          <w:szCs w:val="24"/>
        </w:rPr>
        <w:t>Buzzard Electrical (Pty) Ltm v 158 Jan Smuts Avenue Investments Pty) Ltd</w:t>
      </w:r>
      <w:r w:rsidR="00890500">
        <w:rPr>
          <w:rStyle w:val="FootnoteReference"/>
          <w:rFonts w:ascii="Times New Roman" w:hAnsi="Times New Roman" w:cs="Times New Roman"/>
          <w:i/>
          <w:sz w:val="24"/>
          <w:szCs w:val="24"/>
        </w:rPr>
        <w:footnoteReference w:id="54"/>
      </w:r>
      <w:r w:rsidR="00890500">
        <w:rPr>
          <w:rFonts w:ascii="Times New Roman" w:hAnsi="Times New Roman" w:cs="Times New Roman"/>
          <w:i/>
          <w:sz w:val="24"/>
          <w:szCs w:val="24"/>
        </w:rPr>
        <w:t xml:space="preserve"> </w:t>
      </w:r>
      <w:r w:rsidR="00890500">
        <w:rPr>
          <w:rFonts w:ascii="Times New Roman" w:hAnsi="Times New Roman" w:cs="Times New Roman"/>
          <w:sz w:val="24"/>
          <w:szCs w:val="24"/>
        </w:rPr>
        <w:t xml:space="preserve"> </w:t>
      </w:r>
      <w:r w:rsidR="00847B05">
        <w:rPr>
          <w:rFonts w:ascii="Times New Roman" w:hAnsi="Times New Roman" w:cs="Times New Roman"/>
          <w:sz w:val="24"/>
          <w:szCs w:val="24"/>
        </w:rPr>
        <w:t>in terms of which</w:t>
      </w:r>
      <w:r w:rsidR="00890500">
        <w:rPr>
          <w:rFonts w:ascii="Times New Roman" w:hAnsi="Times New Roman" w:cs="Times New Roman"/>
          <w:sz w:val="24"/>
          <w:szCs w:val="24"/>
        </w:rPr>
        <w:t xml:space="preserve"> similar claims by subcontractors are generally excluded.</w:t>
      </w:r>
    </w:p>
    <w:p w14:paraId="2E690683" w14:textId="77777777" w:rsidR="00042AA8" w:rsidRDefault="00042AA8" w:rsidP="00F4319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Classifying Claims Correctly </w:t>
      </w:r>
    </w:p>
    <w:p w14:paraId="0E2BAE87" w14:textId="77777777" w:rsidR="00C535F2" w:rsidRPr="00C535F2" w:rsidRDefault="004F4646" w:rsidP="00F431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Regardless of whether or not the claim would be successful, so</w:t>
      </w:r>
      <w:r w:rsidR="00C535F2" w:rsidRPr="00C535F2">
        <w:rPr>
          <w:rFonts w:ascii="Times New Roman" w:hAnsi="Times New Roman" w:cs="Times New Roman"/>
          <w:sz w:val="24"/>
          <w:szCs w:val="24"/>
        </w:rPr>
        <w:t xml:space="preserve"> far this</w:t>
      </w:r>
      <w:r>
        <w:rPr>
          <w:rFonts w:ascii="Times New Roman" w:hAnsi="Times New Roman" w:cs="Times New Roman"/>
          <w:sz w:val="24"/>
          <w:szCs w:val="24"/>
        </w:rPr>
        <w:t xml:space="preserve"> discussion</w:t>
      </w:r>
      <w:r w:rsidR="00C535F2" w:rsidRPr="00C535F2">
        <w:rPr>
          <w:rFonts w:ascii="Times New Roman" w:hAnsi="Times New Roman" w:cs="Times New Roman"/>
          <w:sz w:val="24"/>
          <w:szCs w:val="24"/>
        </w:rPr>
        <w:t xml:space="preserve"> just seems to involve the identification of a further case that has potentially been misclassified by the courts. Much like </w:t>
      </w:r>
      <w:r w:rsidR="00C535F2" w:rsidRPr="00C535F2">
        <w:rPr>
          <w:rFonts w:ascii="Times New Roman" w:hAnsi="Times New Roman" w:cs="Times New Roman"/>
          <w:i/>
          <w:sz w:val="24"/>
          <w:szCs w:val="24"/>
        </w:rPr>
        <w:t>Rubin</w:t>
      </w:r>
      <w:r w:rsidR="00C535F2" w:rsidRPr="00C535F2">
        <w:rPr>
          <w:rFonts w:ascii="Times New Roman" w:hAnsi="Times New Roman" w:cs="Times New Roman"/>
          <w:sz w:val="24"/>
          <w:szCs w:val="24"/>
        </w:rPr>
        <w:t xml:space="preserve"> and </w:t>
      </w:r>
      <w:r w:rsidR="00C535F2" w:rsidRPr="00C535F2">
        <w:rPr>
          <w:rFonts w:ascii="Times New Roman" w:hAnsi="Times New Roman" w:cs="Times New Roman"/>
          <w:i/>
          <w:sz w:val="24"/>
          <w:szCs w:val="24"/>
        </w:rPr>
        <w:t>Nortje</w:t>
      </w:r>
      <w:r w:rsidR="00C535F2" w:rsidRPr="00C535F2">
        <w:rPr>
          <w:rFonts w:ascii="Times New Roman" w:hAnsi="Times New Roman" w:cs="Times New Roman"/>
          <w:sz w:val="24"/>
          <w:szCs w:val="24"/>
        </w:rPr>
        <w:t xml:space="preserve">, although </w:t>
      </w:r>
      <w:r w:rsidR="00C535F2" w:rsidRPr="00C535F2">
        <w:rPr>
          <w:rFonts w:ascii="Times New Roman" w:hAnsi="Times New Roman" w:cs="Times New Roman"/>
          <w:i/>
          <w:sz w:val="24"/>
          <w:szCs w:val="24"/>
        </w:rPr>
        <w:t>McCarthy</w:t>
      </w:r>
      <w:r w:rsidR="00C535F2" w:rsidRPr="00C535F2">
        <w:rPr>
          <w:rFonts w:ascii="Times New Roman" w:hAnsi="Times New Roman" w:cs="Times New Roman"/>
          <w:sz w:val="24"/>
          <w:szCs w:val="24"/>
        </w:rPr>
        <w:t xml:space="preserve"> superficially appears to be a case of unauthorized improvements a more careful analysis reveals that it can be analysed as a </w:t>
      </w:r>
      <w:r w:rsidR="00C535F2" w:rsidRPr="00C535F2">
        <w:rPr>
          <w:rFonts w:ascii="Times New Roman" w:hAnsi="Times New Roman" w:cs="Times New Roman"/>
          <w:i/>
          <w:sz w:val="24"/>
          <w:szCs w:val="24"/>
        </w:rPr>
        <w:t>condictio</w:t>
      </w:r>
      <w:r w:rsidR="00C535F2" w:rsidRPr="00C535F2">
        <w:rPr>
          <w:rFonts w:ascii="Times New Roman" w:hAnsi="Times New Roman" w:cs="Times New Roman"/>
          <w:sz w:val="24"/>
          <w:szCs w:val="24"/>
        </w:rPr>
        <w:t xml:space="preserve"> or transfer case. What follows though is the necessity of arguing why the condictio analysis is preferable or even necessary. Or to put it differently, why is it that </w:t>
      </w:r>
      <w:r w:rsidR="00C535F2" w:rsidRPr="00C535F2">
        <w:rPr>
          <w:rFonts w:ascii="Times New Roman" w:hAnsi="Times New Roman" w:cs="Times New Roman"/>
          <w:i/>
          <w:sz w:val="24"/>
          <w:szCs w:val="24"/>
        </w:rPr>
        <w:t>McCarthy</w:t>
      </w:r>
      <w:r w:rsidR="00C535F2" w:rsidRPr="00C535F2">
        <w:rPr>
          <w:rFonts w:ascii="Times New Roman" w:hAnsi="Times New Roman" w:cs="Times New Roman"/>
          <w:sz w:val="24"/>
          <w:szCs w:val="24"/>
        </w:rPr>
        <w:t xml:space="preserve"> should not be dealt with as an improvements case, it does after all involve the improvement of property. This is perhaps where McCarthy is more difficult to explain than </w:t>
      </w:r>
      <w:r w:rsidR="00C535F2" w:rsidRPr="00C535F2">
        <w:rPr>
          <w:rFonts w:ascii="Times New Roman" w:hAnsi="Times New Roman" w:cs="Times New Roman"/>
          <w:i/>
          <w:sz w:val="24"/>
          <w:szCs w:val="24"/>
        </w:rPr>
        <w:t>Rubin</w:t>
      </w:r>
      <w:r w:rsidR="00C535F2" w:rsidRPr="00C535F2">
        <w:rPr>
          <w:rFonts w:ascii="Times New Roman" w:hAnsi="Times New Roman" w:cs="Times New Roman"/>
          <w:sz w:val="24"/>
          <w:szCs w:val="24"/>
        </w:rPr>
        <w:t xml:space="preserve"> and </w:t>
      </w:r>
      <w:r w:rsidR="00C535F2" w:rsidRPr="00C535F2">
        <w:rPr>
          <w:rFonts w:ascii="Times New Roman" w:hAnsi="Times New Roman" w:cs="Times New Roman"/>
          <w:i/>
          <w:sz w:val="24"/>
          <w:szCs w:val="24"/>
        </w:rPr>
        <w:t>Nortje</w:t>
      </w:r>
      <w:r w:rsidR="00C535F2" w:rsidRPr="00C535F2">
        <w:rPr>
          <w:rFonts w:ascii="Times New Roman" w:hAnsi="Times New Roman" w:cs="Times New Roman"/>
          <w:sz w:val="24"/>
          <w:szCs w:val="24"/>
        </w:rPr>
        <w:t>.</w:t>
      </w:r>
    </w:p>
    <w:p w14:paraId="3CD329D7" w14:textId="74EDF1FD"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Dealing first with </w:t>
      </w:r>
      <w:r w:rsidRPr="00C535F2">
        <w:rPr>
          <w:rFonts w:ascii="Times New Roman" w:hAnsi="Times New Roman" w:cs="Times New Roman"/>
          <w:i/>
          <w:sz w:val="24"/>
          <w:szCs w:val="24"/>
        </w:rPr>
        <w:t xml:space="preserve">Nortje, </w:t>
      </w:r>
      <w:r w:rsidRPr="00C535F2">
        <w:rPr>
          <w:rFonts w:ascii="Times New Roman" w:hAnsi="Times New Roman" w:cs="Times New Roman"/>
          <w:sz w:val="24"/>
          <w:szCs w:val="24"/>
        </w:rPr>
        <w:t xml:space="preserve">it </w:t>
      </w:r>
      <w:r w:rsidR="003576E2">
        <w:rPr>
          <w:rFonts w:ascii="Times New Roman" w:hAnsi="Times New Roman" w:cs="Times New Roman"/>
          <w:sz w:val="24"/>
          <w:szCs w:val="24"/>
        </w:rPr>
        <w:t xml:space="preserve">is </w:t>
      </w:r>
      <w:r w:rsidRPr="00C535F2">
        <w:rPr>
          <w:rFonts w:ascii="Times New Roman" w:hAnsi="Times New Roman" w:cs="Times New Roman"/>
          <w:sz w:val="24"/>
          <w:szCs w:val="24"/>
        </w:rPr>
        <w:t>perhaps the easiest to explain why it is not an improvements case</w:t>
      </w:r>
      <w:r w:rsidR="003576E2">
        <w:rPr>
          <w:rFonts w:ascii="Times New Roman" w:hAnsi="Times New Roman" w:cs="Times New Roman"/>
          <w:sz w:val="24"/>
          <w:szCs w:val="24"/>
        </w:rPr>
        <w:t xml:space="preserve">. It is </w:t>
      </w:r>
      <w:r w:rsidRPr="00C535F2">
        <w:rPr>
          <w:rFonts w:ascii="Times New Roman" w:hAnsi="Times New Roman" w:cs="Times New Roman"/>
          <w:sz w:val="24"/>
          <w:szCs w:val="24"/>
        </w:rPr>
        <w:t xml:space="preserve">because the claimant’s prospecting services had done nothing to improve the defendant’s property. It was this absence of any tangible improvement that, in the </w:t>
      </w:r>
      <w:r w:rsidR="00847B05">
        <w:rPr>
          <w:rFonts w:ascii="Times New Roman" w:hAnsi="Times New Roman" w:cs="Times New Roman"/>
          <w:sz w:val="24"/>
          <w:szCs w:val="24"/>
        </w:rPr>
        <w:t>appeal court judgments</w:t>
      </w:r>
      <w:r w:rsidRPr="00C535F2">
        <w:rPr>
          <w:rFonts w:ascii="Times New Roman" w:hAnsi="Times New Roman" w:cs="Times New Roman"/>
          <w:sz w:val="24"/>
          <w:szCs w:val="24"/>
        </w:rPr>
        <w:t xml:space="preserve">, appeared to prove the most significant obstacle to the claim. </w:t>
      </w:r>
      <w:r w:rsidR="003576E2">
        <w:rPr>
          <w:rFonts w:ascii="Times New Roman" w:hAnsi="Times New Roman" w:cs="Times New Roman"/>
          <w:sz w:val="24"/>
          <w:szCs w:val="24"/>
        </w:rPr>
        <w:t xml:space="preserve">The </w:t>
      </w:r>
      <w:r w:rsidRPr="00C535F2">
        <w:rPr>
          <w:rFonts w:ascii="Times New Roman" w:hAnsi="Times New Roman" w:cs="Times New Roman"/>
          <w:sz w:val="24"/>
          <w:szCs w:val="24"/>
        </w:rPr>
        <w:t xml:space="preserve">English case of </w:t>
      </w:r>
      <w:r w:rsidRPr="00C535F2">
        <w:rPr>
          <w:rFonts w:ascii="Times New Roman" w:hAnsi="Times New Roman" w:cs="Times New Roman"/>
          <w:i/>
          <w:sz w:val="24"/>
          <w:szCs w:val="24"/>
        </w:rPr>
        <w:t>Cobbe v Yeoman’s Row</w:t>
      </w:r>
      <w:r w:rsidR="00762FE5">
        <w:rPr>
          <w:rStyle w:val="FootnoteReference"/>
          <w:rFonts w:ascii="Times New Roman" w:hAnsi="Times New Roman" w:cs="Times New Roman"/>
          <w:i/>
          <w:sz w:val="24"/>
          <w:szCs w:val="24"/>
        </w:rPr>
        <w:footnoteReference w:id="55"/>
      </w:r>
      <w:r w:rsidRPr="00C535F2">
        <w:rPr>
          <w:rFonts w:ascii="Times New Roman" w:hAnsi="Times New Roman" w:cs="Times New Roman"/>
          <w:sz w:val="24"/>
          <w:szCs w:val="24"/>
        </w:rPr>
        <w:t xml:space="preserve"> and Lord Scott’s hypothetical locksmith are illustrative.</w:t>
      </w:r>
      <w:r w:rsidR="00762FE5">
        <w:rPr>
          <w:rStyle w:val="FootnoteReference"/>
          <w:rFonts w:ascii="Times New Roman" w:hAnsi="Times New Roman" w:cs="Times New Roman"/>
          <w:sz w:val="24"/>
          <w:szCs w:val="24"/>
        </w:rPr>
        <w:footnoteReference w:id="56"/>
      </w:r>
      <w:r w:rsidRPr="00C535F2">
        <w:rPr>
          <w:rFonts w:ascii="Times New Roman" w:hAnsi="Times New Roman" w:cs="Times New Roman"/>
          <w:sz w:val="24"/>
          <w:szCs w:val="24"/>
        </w:rPr>
        <w:t xml:space="preserve"> </w:t>
      </w:r>
      <w:r w:rsidR="003576E2">
        <w:rPr>
          <w:rFonts w:ascii="Times New Roman" w:hAnsi="Times New Roman" w:cs="Times New Roman"/>
          <w:sz w:val="24"/>
          <w:szCs w:val="24"/>
        </w:rPr>
        <w:t>T</w:t>
      </w:r>
      <w:r w:rsidRPr="00C535F2">
        <w:rPr>
          <w:rFonts w:ascii="Times New Roman" w:hAnsi="Times New Roman" w:cs="Times New Roman"/>
          <w:sz w:val="24"/>
          <w:szCs w:val="24"/>
        </w:rPr>
        <w:t>he claimant had benefited the defendant by working to obtain planning permission for a development on the defendant’s land.</w:t>
      </w:r>
      <w:r w:rsidR="003576E2">
        <w:rPr>
          <w:rFonts w:ascii="Times New Roman" w:hAnsi="Times New Roman" w:cs="Times New Roman"/>
          <w:sz w:val="24"/>
          <w:szCs w:val="24"/>
        </w:rPr>
        <w:t xml:space="preserve"> </w:t>
      </w:r>
      <w:r w:rsidRPr="00C535F2">
        <w:rPr>
          <w:rFonts w:ascii="Times New Roman" w:hAnsi="Times New Roman" w:cs="Times New Roman"/>
          <w:sz w:val="24"/>
          <w:szCs w:val="24"/>
        </w:rPr>
        <w:t xml:space="preserve">In his judgment Lord Scott uses the </w:t>
      </w:r>
      <w:r w:rsidR="003576E2">
        <w:rPr>
          <w:rFonts w:ascii="Times New Roman" w:hAnsi="Times New Roman" w:cs="Times New Roman"/>
          <w:sz w:val="24"/>
          <w:szCs w:val="24"/>
        </w:rPr>
        <w:t xml:space="preserve">analogy </w:t>
      </w:r>
      <w:r w:rsidRPr="00C535F2">
        <w:rPr>
          <w:rFonts w:ascii="Times New Roman" w:hAnsi="Times New Roman" w:cs="Times New Roman"/>
          <w:sz w:val="24"/>
          <w:szCs w:val="24"/>
        </w:rPr>
        <w:t xml:space="preserve">of a locksmith who fashions a key to open a cabinet in which a valuable treasure is believed to be located, the locksmith hoping to share in the treasure. He is successful and the treasure is found in the cabinet. Lord Scott notes that the owner would be enriched, likely unjustly, by the value of the service provided and not the treasure, which he already owned. In much the same way it is the service of obtaining the planning permission, rather than the change in the value of the land, which constitutes the enrichment in </w:t>
      </w:r>
      <w:r w:rsidRPr="00C535F2">
        <w:rPr>
          <w:rFonts w:ascii="Times New Roman" w:hAnsi="Times New Roman" w:cs="Times New Roman"/>
          <w:i/>
          <w:sz w:val="24"/>
          <w:szCs w:val="24"/>
        </w:rPr>
        <w:t>Cobbe</w:t>
      </w:r>
      <w:r w:rsidR="00C536D8">
        <w:rPr>
          <w:rFonts w:ascii="Times New Roman" w:hAnsi="Times New Roman" w:cs="Times New Roman"/>
          <w:sz w:val="24"/>
          <w:szCs w:val="24"/>
        </w:rPr>
        <w:t>.</w:t>
      </w:r>
      <w:r w:rsidRPr="00C535F2">
        <w:rPr>
          <w:rFonts w:ascii="Times New Roman" w:hAnsi="Times New Roman" w:cs="Times New Roman"/>
          <w:sz w:val="24"/>
          <w:szCs w:val="24"/>
        </w:rPr>
        <w:t xml:space="preserve"> </w:t>
      </w:r>
      <w:r w:rsidRPr="00C535F2">
        <w:rPr>
          <w:rFonts w:ascii="Times New Roman" w:hAnsi="Times New Roman" w:cs="Times New Roman"/>
          <w:i/>
          <w:sz w:val="24"/>
          <w:szCs w:val="24"/>
        </w:rPr>
        <w:t xml:space="preserve">Nortje </w:t>
      </w:r>
      <w:r w:rsidRPr="00C535F2">
        <w:rPr>
          <w:rFonts w:ascii="Times New Roman" w:hAnsi="Times New Roman" w:cs="Times New Roman"/>
          <w:sz w:val="24"/>
          <w:szCs w:val="24"/>
        </w:rPr>
        <w:t>clearly responds to the same analysis</w:t>
      </w:r>
      <w:r w:rsidR="003576E2">
        <w:rPr>
          <w:rFonts w:ascii="Times New Roman" w:hAnsi="Times New Roman" w:cs="Times New Roman"/>
          <w:sz w:val="24"/>
          <w:szCs w:val="24"/>
        </w:rPr>
        <w:t>. I</w:t>
      </w:r>
      <w:r w:rsidRPr="00C535F2">
        <w:rPr>
          <w:rFonts w:ascii="Times New Roman" w:hAnsi="Times New Roman" w:cs="Times New Roman"/>
          <w:sz w:val="24"/>
          <w:szCs w:val="24"/>
        </w:rPr>
        <w:t xml:space="preserve">t was the provision of the prospecting services which enriched the defendant rather than any improvement made to the property. The claim for the conferral of beneficial services </w:t>
      </w:r>
      <w:r w:rsidR="003576E2">
        <w:rPr>
          <w:rFonts w:ascii="Times New Roman" w:hAnsi="Times New Roman" w:cs="Times New Roman"/>
          <w:sz w:val="24"/>
          <w:szCs w:val="24"/>
        </w:rPr>
        <w:t xml:space="preserve">should have led to </w:t>
      </w:r>
      <w:r w:rsidRPr="00C535F2">
        <w:rPr>
          <w:rFonts w:ascii="Times New Roman" w:hAnsi="Times New Roman" w:cs="Times New Roman"/>
          <w:sz w:val="24"/>
          <w:szCs w:val="24"/>
        </w:rPr>
        <w:t>the award by the court</w:t>
      </w:r>
      <w:r w:rsidR="006878A3">
        <w:rPr>
          <w:rFonts w:ascii="Times New Roman" w:hAnsi="Times New Roman" w:cs="Times New Roman"/>
          <w:sz w:val="24"/>
          <w:szCs w:val="24"/>
        </w:rPr>
        <w:t xml:space="preserve"> for</w:t>
      </w:r>
      <w:r w:rsidRPr="00C535F2">
        <w:rPr>
          <w:rFonts w:ascii="Times New Roman" w:hAnsi="Times New Roman" w:cs="Times New Roman"/>
          <w:sz w:val="24"/>
          <w:szCs w:val="24"/>
        </w:rPr>
        <w:t xml:space="preserve"> the claimant’s costs in engaging in the prospecting.</w:t>
      </w:r>
    </w:p>
    <w:p w14:paraId="0BF8EACF" w14:textId="2C6FC2A9"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i/>
          <w:sz w:val="24"/>
          <w:szCs w:val="24"/>
        </w:rPr>
        <w:t>Rubin</w:t>
      </w:r>
      <w:r w:rsidRPr="00C535F2">
        <w:rPr>
          <w:rFonts w:ascii="Times New Roman" w:hAnsi="Times New Roman" w:cs="Times New Roman"/>
          <w:sz w:val="24"/>
          <w:szCs w:val="24"/>
        </w:rPr>
        <w:t xml:space="preserve"> is somewhat trickier to explain as it seems to respond to either analysis. The claimant did improve the defendant’s property but did so with the intention of discharging a purported contractual obligation. This requires us to interrogate the basis on which these claims can be differentiated. Visser and Du Plessis distinguish between transfer cases as being those where the plaintiff intends to confer a benefit on the defendant and imposition cases which include situations where the plaintiff has improved the defendant owner’s property without their authorisation or consent.</w:t>
      </w:r>
      <w:r w:rsidRPr="00C535F2">
        <w:rPr>
          <w:rStyle w:val="FootnoteReference"/>
          <w:rFonts w:ascii="Times New Roman" w:hAnsi="Times New Roman" w:cs="Times New Roman"/>
          <w:sz w:val="24"/>
          <w:szCs w:val="24"/>
        </w:rPr>
        <w:footnoteReference w:id="57"/>
      </w:r>
      <w:r w:rsidRPr="00C535F2">
        <w:rPr>
          <w:rFonts w:ascii="Times New Roman" w:hAnsi="Times New Roman" w:cs="Times New Roman"/>
          <w:sz w:val="24"/>
          <w:szCs w:val="24"/>
        </w:rPr>
        <w:t xml:space="preserve"> Du Plessis, drawing on an article by Evans-Jones,</w:t>
      </w:r>
      <w:bookmarkStart w:id="11" w:name="_Ref525827178"/>
      <w:r w:rsidR="00C536D8">
        <w:rPr>
          <w:rStyle w:val="FootnoteReference"/>
          <w:rFonts w:ascii="Times New Roman" w:hAnsi="Times New Roman" w:cs="Times New Roman"/>
          <w:sz w:val="24"/>
          <w:szCs w:val="24"/>
        </w:rPr>
        <w:footnoteReference w:id="58"/>
      </w:r>
      <w:bookmarkEnd w:id="11"/>
      <w:r w:rsidRPr="00C535F2">
        <w:rPr>
          <w:rFonts w:ascii="Times New Roman" w:hAnsi="Times New Roman" w:cs="Times New Roman"/>
          <w:sz w:val="24"/>
          <w:szCs w:val="24"/>
        </w:rPr>
        <w:t xml:space="preserve"> uses </w:t>
      </w:r>
      <w:r w:rsidRPr="00C535F2">
        <w:rPr>
          <w:rFonts w:ascii="Times New Roman" w:hAnsi="Times New Roman" w:cs="Times New Roman"/>
          <w:i/>
          <w:sz w:val="24"/>
          <w:szCs w:val="24"/>
        </w:rPr>
        <w:t>Rubin</w:t>
      </w:r>
      <w:r w:rsidRPr="00C535F2">
        <w:rPr>
          <w:rFonts w:ascii="Times New Roman" w:hAnsi="Times New Roman" w:cs="Times New Roman"/>
          <w:sz w:val="24"/>
          <w:szCs w:val="24"/>
        </w:rPr>
        <w:t xml:space="preserve"> to illustrate this distinction. Agreeing with Evans-Jones, Du Plessis notes that because the improvements effected by the claimant were a form of rental, authorised by the owner, the case is better analysed as a transfer case.</w:t>
      </w:r>
      <w:r w:rsidR="0014132F">
        <w:rPr>
          <w:rStyle w:val="FootnoteReference"/>
          <w:rFonts w:ascii="Times New Roman" w:hAnsi="Times New Roman" w:cs="Times New Roman"/>
          <w:sz w:val="24"/>
          <w:szCs w:val="24"/>
        </w:rPr>
        <w:footnoteReference w:id="59"/>
      </w:r>
    </w:p>
    <w:p w14:paraId="6754C889" w14:textId="77777777"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This basis for distinguishing the cases does not however exactly match that offered by Evans-Jones in the article from which Du Plessis drew. Although Evans-Jones also argues that the “transfer” cases are defined by an intention to confer a benefit on the defendant he differs in how he defines improvement cases. Evans-Jones suggests that improvements cases arise where the claimant held a belief that the property that she improved was her own.</w:t>
      </w:r>
      <w:r w:rsidRPr="00C535F2">
        <w:rPr>
          <w:rStyle w:val="FootnoteReference"/>
          <w:rFonts w:ascii="Times New Roman" w:hAnsi="Times New Roman" w:cs="Times New Roman"/>
          <w:sz w:val="24"/>
          <w:szCs w:val="24"/>
        </w:rPr>
        <w:footnoteReference w:id="60"/>
      </w:r>
      <w:r w:rsidRPr="00C535F2">
        <w:rPr>
          <w:rFonts w:ascii="Times New Roman" w:hAnsi="Times New Roman" w:cs="Times New Roman"/>
          <w:sz w:val="24"/>
          <w:szCs w:val="24"/>
        </w:rPr>
        <w:t xml:space="preserve"> On this analysis the reason why </w:t>
      </w:r>
      <w:r w:rsidRPr="00C535F2">
        <w:rPr>
          <w:rFonts w:ascii="Times New Roman" w:hAnsi="Times New Roman" w:cs="Times New Roman"/>
          <w:i/>
          <w:sz w:val="24"/>
          <w:szCs w:val="24"/>
        </w:rPr>
        <w:t xml:space="preserve">Rubin </w:t>
      </w:r>
      <w:r w:rsidRPr="00C535F2">
        <w:rPr>
          <w:rFonts w:ascii="Times New Roman" w:hAnsi="Times New Roman" w:cs="Times New Roman"/>
          <w:sz w:val="24"/>
          <w:szCs w:val="24"/>
        </w:rPr>
        <w:t>is best analysed as a transfer claim is not just because the claimant intended to benefit the defendant but also because, absent a belief that the property being improved was his own, this was not an improvements case.</w:t>
      </w:r>
    </w:p>
    <w:p w14:paraId="3A9E1898" w14:textId="75F520CA"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i/>
          <w:sz w:val="24"/>
          <w:szCs w:val="24"/>
        </w:rPr>
        <w:t xml:space="preserve">McCarthy </w:t>
      </w:r>
      <w:r w:rsidRPr="00C535F2">
        <w:rPr>
          <w:rFonts w:ascii="Times New Roman" w:hAnsi="Times New Roman" w:cs="Times New Roman"/>
          <w:sz w:val="24"/>
          <w:szCs w:val="24"/>
        </w:rPr>
        <w:t>provides a convenient set of facts on which the relatively subtle difference between these two approaches can be demonstrated. On Evans-Jones’s analysis, which will be returned to below, the case can only be categorised as a transfer or deliberate conferral case</w:t>
      </w:r>
      <w:r w:rsidR="00847B05">
        <w:rPr>
          <w:rFonts w:ascii="Times New Roman" w:hAnsi="Times New Roman" w:cs="Times New Roman"/>
          <w:sz w:val="24"/>
          <w:szCs w:val="24"/>
        </w:rPr>
        <w:t>.</w:t>
      </w:r>
      <w:r w:rsidRPr="00C535F2">
        <w:rPr>
          <w:rFonts w:ascii="Times New Roman" w:hAnsi="Times New Roman" w:cs="Times New Roman"/>
          <w:sz w:val="24"/>
          <w:szCs w:val="24"/>
        </w:rPr>
        <w:t xml:space="preserve"> </w:t>
      </w:r>
      <w:r w:rsidR="00847B05">
        <w:rPr>
          <w:rFonts w:ascii="Times New Roman" w:hAnsi="Times New Roman" w:cs="Times New Roman"/>
          <w:sz w:val="24"/>
          <w:szCs w:val="24"/>
        </w:rPr>
        <w:t>A</w:t>
      </w:r>
      <w:r w:rsidR="006878A3">
        <w:rPr>
          <w:rFonts w:ascii="Times New Roman" w:hAnsi="Times New Roman" w:cs="Times New Roman"/>
          <w:sz w:val="24"/>
          <w:szCs w:val="24"/>
        </w:rPr>
        <w:t xml:space="preserve">s </w:t>
      </w:r>
      <w:r w:rsidRPr="00C535F2">
        <w:rPr>
          <w:rFonts w:ascii="Times New Roman" w:hAnsi="Times New Roman" w:cs="Times New Roman"/>
          <w:sz w:val="24"/>
          <w:szCs w:val="24"/>
        </w:rPr>
        <w:t xml:space="preserve">in </w:t>
      </w:r>
      <w:r w:rsidRPr="00C535F2">
        <w:rPr>
          <w:rFonts w:ascii="Times New Roman" w:hAnsi="Times New Roman" w:cs="Times New Roman"/>
          <w:i/>
          <w:sz w:val="24"/>
          <w:szCs w:val="24"/>
        </w:rPr>
        <w:t>Rubin</w:t>
      </w:r>
      <w:r w:rsidRPr="00C535F2">
        <w:rPr>
          <w:rFonts w:ascii="Times New Roman" w:hAnsi="Times New Roman" w:cs="Times New Roman"/>
          <w:sz w:val="24"/>
          <w:szCs w:val="24"/>
        </w:rPr>
        <w:t>, the claimant did not have any belief that it was the owner and so intended to confer the benefit on another</w:t>
      </w:r>
      <w:r w:rsidR="004C4AC5">
        <w:rPr>
          <w:rFonts w:ascii="Times New Roman" w:hAnsi="Times New Roman" w:cs="Times New Roman"/>
          <w:sz w:val="24"/>
          <w:szCs w:val="24"/>
        </w:rPr>
        <w:t xml:space="preserve"> rather than</w:t>
      </w:r>
      <w:r w:rsidR="001924A5">
        <w:rPr>
          <w:rFonts w:ascii="Times New Roman" w:hAnsi="Times New Roman" w:cs="Times New Roman"/>
          <w:sz w:val="24"/>
          <w:szCs w:val="24"/>
        </w:rPr>
        <w:t xml:space="preserve"> acting</w:t>
      </w:r>
      <w:r w:rsidR="004C4AC5">
        <w:rPr>
          <w:rFonts w:ascii="Times New Roman" w:hAnsi="Times New Roman" w:cs="Times New Roman"/>
          <w:sz w:val="24"/>
          <w:szCs w:val="24"/>
        </w:rPr>
        <w:t xml:space="preserve"> for its own benefit</w:t>
      </w:r>
      <w:r w:rsidRPr="00C535F2">
        <w:rPr>
          <w:rFonts w:ascii="Times New Roman" w:hAnsi="Times New Roman" w:cs="Times New Roman"/>
          <w:sz w:val="24"/>
          <w:szCs w:val="24"/>
        </w:rPr>
        <w:t>. Applying the distinction used by Visser and Du Plessis however the case can still be placed in both categories. Although the garage was intending to discharge an obligation to the insurer it was also engaging in unauthorised repairs of the truck. The descriptions of both categories, as set out by Visser and Du Plessis, are satisfied.</w:t>
      </w:r>
    </w:p>
    <w:p w14:paraId="5E225D7A" w14:textId="1D26E04A" w:rsid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Visser and Du Plessis thus appear to treat </w:t>
      </w:r>
      <w:r w:rsidRPr="00C535F2">
        <w:rPr>
          <w:rFonts w:ascii="Times New Roman" w:hAnsi="Times New Roman" w:cs="Times New Roman"/>
          <w:i/>
          <w:sz w:val="24"/>
          <w:szCs w:val="24"/>
        </w:rPr>
        <w:t>McCarthy</w:t>
      </w:r>
      <w:r w:rsidRPr="00C535F2">
        <w:rPr>
          <w:rFonts w:ascii="Times New Roman" w:hAnsi="Times New Roman" w:cs="Times New Roman"/>
          <w:sz w:val="24"/>
          <w:szCs w:val="24"/>
        </w:rPr>
        <w:t>, and claims by good faith occupiers of property generally,</w:t>
      </w:r>
      <w:r w:rsidRPr="00C535F2">
        <w:rPr>
          <w:rFonts w:ascii="Times New Roman" w:hAnsi="Times New Roman" w:cs="Times New Roman"/>
          <w:i/>
          <w:sz w:val="24"/>
          <w:szCs w:val="24"/>
        </w:rPr>
        <w:t xml:space="preserve"> </w:t>
      </w:r>
      <w:r w:rsidRPr="00C535F2">
        <w:rPr>
          <w:rFonts w:ascii="Times New Roman" w:hAnsi="Times New Roman" w:cs="Times New Roman"/>
          <w:sz w:val="24"/>
          <w:szCs w:val="24"/>
        </w:rPr>
        <w:t>as an improvements case not on the basis of a principled distinction between the categories but rather because this is how the court approached the case.</w:t>
      </w:r>
      <w:r w:rsidRPr="00C535F2">
        <w:rPr>
          <w:rStyle w:val="FootnoteReference"/>
          <w:rFonts w:ascii="Times New Roman" w:hAnsi="Times New Roman" w:cs="Times New Roman"/>
          <w:sz w:val="24"/>
          <w:szCs w:val="24"/>
        </w:rPr>
        <w:footnoteReference w:id="61"/>
      </w:r>
      <w:r w:rsidRPr="00C535F2">
        <w:rPr>
          <w:rFonts w:ascii="Times New Roman" w:hAnsi="Times New Roman" w:cs="Times New Roman"/>
          <w:sz w:val="24"/>
          <w:szCs w:val="24"/>
        </w:rPr>
        <w:t xml:space="preserve"> The approach of the court is again not a</w:t>
      </w:r>
      <w:r w:rsidR="001924A5">
        <w:rPr>
          <w:rFonts w:ascii="Times New Roman" w:hAnsi="Times New Roman" w:cs="Times New Roman"/>
          <w:sz w:val="24"/>
          <w:szCs w:val="24"/>
        </w:rPr>
        <w:t xml:space="preserve"> distinction based on principle</w:t>
      </w:r>
      <w:r w:rsidRPr="00C535F2">
        <w:rPr>
          <w:rFonts w:ascii="Times New Roman" w:hAnsi="Times New Roman" w:cs="Times New Roman"/>
          <w:sz w:val="24"/>
          <w:szCs w:val="24"/>
        </w:rPr>
        <w:t xml:space="preserve"> but rather, as noted above, seems to arise from</w:t>
      </w:r>
      <w:r w:rsidR="00C536D8">
        <w:rPr>
          <w:rFonts w:ascii="Times New Roman" w:hAnsi="Times New Roman" w:cs="Times New Roman"/>
          <w:sz w:val="24"/>
          <w:szCs w:val="24"/>
        </w:rPr>
        <w:t xml:space="preserve"> the historical treatment of similar cases and</w:t>
      </w:r>
      <w:r w:rsidRPr="00C535F2">
        <w:rPr>
          <w:rFonts w:ascii="Times New Roman" w:hAnsi="Times New Roman" w:cs="Times New Roman"/>
          <w:sz w:val="24"/>
          <w:szCs w:val="24"/>
        </w:rPr>
        <w:t xml:space="preserve"> the fact that the South African law does not as yet recognise a “transfer” claim for services. The advantage of the analysis offered by Evans-Jones is that it does not allow for an overlap between the cases as the required intention which defines each category excludes the other. As Evans-Jones argues</w:t>
      </w:r>
      <w:r w:rsidR="004C4AC5">
        <w:rPr>
          <w:rFonts w:ascii="Times New Roman" w:hAnsi="Times New Roman" w:cs="Times New Roman"/>
          <w:sz w:val="24"/>
          <w:szCs w:val="24"/>
        </w:rPr>
        <w:t>,</w:t>
      </w:r>
      <w:r w:rsidRPr="00C535F2">
        <w:rPr>
          <w:rFonts w:ascii="Times New Roman" w:hAnsi="Times New Roman" w:cs="Times New Roman"/>
          <w:sz w:val="24"/>
          <w:szCs w:val="24"/>
        </w:rPr>
        <w:t xml:space="preserve"> this model also better reflects the historical origin and justification for what were two distinct legal claims.</w:t>
      </w:r>
      <w:r w:rsidRPr="00C535F2">
        <w:rPr>
          <w:rStyle w:val="FootnoteReference"/>
          <w:rFonts w:ascii="Times New Roman" w:hAnsi="Times New Roman" w:cs="Times New Roman"/>
          <w:sz w:val="24"/>
          <w:szCs w:val="24"/>
        </w:rPr>
        <w:footnoteReference w:id="62"/>
      </w:r>
    </w:p>
    <w:p w14:paraId="6768FE7D" w14:textId="77777777" w:rsidR="00042AA8" w:rsidRDefault="00042AA8" w:rsidP="00F43197">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The General Enrichment Action</w:t>
      </w:r>
    </w:p>
    <w:p w14:paraId="41F7F433" w14:textId="77777777" w:rsidR="00C535F2" w:rsidRPr="00C535F2" w:rsidRDefault="001924A5" w:rsidP="00F43197">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However, </w:t>
      </w:r>
      <w:r w:rsidR="00C535F2" w:rsidRPr="00C535F2">
        <w:rPr>
          <w:rFonts w:ascii="Times New Roman" w:hAnsi="Times New Roman" w:cs="Times New Roman"/>
          <w:i/>
          <w:sz w:val="24"/>
          <w:szCs w:val="24"/>
        </w:rPr>
        <w:t>McCarthy</w:t>
      </w:r>
      <w:r w:rsidR="00C535F2" w:rsidRPr="00C535F2">
        <w:rPr>
          <w:rFonts w:ascii="Times New Roman" w:hAnsi="Times New Roman" w:cs="Times New Roman"/>
          <w:sz w:val="24"/>
          <w:szCs w:val="24"/>
        </w:rPr>
        <w:t xml:space="preserve"> is not just a decision on a claim by a good faith occupier but also strongly signalled the introduction of a “general enrichment action” into the South African law. </w:t>
      </w:r>
      <w:r w:rsidR="006878A3">
        <w:rPr>
          <w:rFonts w:ascii="Times New Roman" w:hAnsi="Times New Roman" w:cs="Times New Roman"/>
          <w:sz w:val="24"/>
          <w:szCs w:val="24"/>
        </w:rPr>
        <w:t xml:space="preserve">It elicits </w:t>
      </w:r>
      <w:r w:rsidR="00C535F2" w:rsidRPr="00C535F2">
        <w:rPr>
          <w:rFonts w:ascii="Times New Roman" w:hAnsi="Times New Roman" w:cs="Times New Roman"/>
          <w:sz w:val="24"/>
          <w:szCs w:val="24"/>
        </w:rPr>
        <w:t>a response that points out</w:t>
      </w:r>
      <w:r w:rsidR="006878A3">
        <w:rPr>
          <w:rFonts w:ascii="Times New Roman" w:hAnsi="Times New Roman" w:cs="Times New Roman"/>
          <w:sz w:val="24"/>
          <w:szCs w:val="24"/>
        </w:rPr>
        <w:t>,</w:t>
      </w:r>
      <w:r w:rsidR="00C535F2" w:rsidRPr="00C535F2">
        <w:rPr>
          <w:rFonts w:ascii="Times New Roman" w:hAnsi="Times New Roman" w:cs="Times New Roman"/>
          <w:sz w:val="24"/>
          <w:szCs w:val="24"/>
        </w:rPr>
        <w:t xml:space="preserve"> not that the argument</w:t>
      </w:r>
      <w:r>
        <w:rPr>
          <w:rFonts w:ascii="Times New Roman" w:hAnsi="Times New Roman" w:cs="Times New Roman"/>
          <w:sz w:val="24"/>
          <w:szCs w:val="24"/>
        </w:rPr>
        <w:t xml:space="preserve"> presented above</w:t>
      </w:r>
      <w:r w:rsidR="00C535F2" w:rsidRPr="00C535F2">
        <w:rPr>
          <w:rFonts w:ascii="Times New Roman" w:hAnsi="Times New Roman" w:cs="Times New Roman"/>
          <w:sz w:val="24"/>
          <w:szCs w:val="24"/>
        </w:rPr>
        <w:t xml:space="preserve"> is wrong</w:t>
      </w:r>
      <w:r w:rsidR="006878A3">
        <w:rPr>
          <w:rFonts w:ascii="Times New Roman" w:hAnsi="Times New Roman" w:cs="Times New Roman"/>
          <w:sz w:val="24"/>
          <w:szCs w:val="24"/>
        </w:rPr>
        <w:t>,</w:t>
      </w:r>
      <w:r w:rsidR="00C535F2" w:rsidRPr="00C535F2">
        <w:rPr>
          <w:rFonts w:ascii="Times New Roman" w:hAnsi="Times New Roman" w:cs="Times New Roman"/>
          <w:sz w:val="24"/>
          <w:szCs w:val="24"/>
        </w:rPr>
        <w:t xml:space="preserve"> but that it perhaps is</w:t>
      </w:r>
      <w:r w:rsidR="006878A3">
        <w:rPr>
          <w:rFonts w:ascii="Times New Roman" w:hAnsi="Times New Roman" w:cs="Times New Roman"/>
          <w:sz w:val="24"/>
          <w:szCs w:val="24"/>
        </w:rPr>
        <w:t xml:space="preserve"> not</w:t>
      </w:r>
      <w:r w:rsidR="00C535F2" w:rsidRPr="00C535F2">
        <w:rPr>
          <w:rFonts w:ascii="Times New Roman" w:hAnsi="Times New Roman" w:cs="Times New Roman"/>
          <w:sz w:val="24"/>
          <w:szCs w:val="24"/>
        </w:rPr>
        <w:t xml:space="preserve"> very significant. This exposes a deeper lying question, </w:t>
      </w:r>
      <w:r w:rsidR="0090155C">
        <w:rPr>
          <w:rFonts w:ascii="Times New Roman" w:hAnsi="Times New Roman" w:cs="Times New Roman"/>
          <w:sz w:val="24"/>
          <w:szCs w:val="24"/>
        </w:rPr>
        <w:t>w</w:t>
      </w:r>
      <w:r w:rsidR="00C535F2" w:rsidRPr="00C535F2">
        <w:rPr>
          <w:rFonts w:ascii="Times New Roman" w:hAnsi="Times New Roman" w:cs="Times New Roman"/>
          <w:sz w:val="24"/>
          <w:szCs w:val="24"/>
        </w:rPr>
        <w:t xml:space="preserve">hy is it necessary to differentiate these claims at all and whether anything turns on such </w:t>
      </w:r>
      <w:r w:rsidR="006878A3">
        <w:rPr>
          <w:rFonts w:ascii="Times New Roman" w:hAnsi="Times New Roman" w:cs="Times New Roman"/>
          <w:sz w:val="24"/>
          <w:szCs w:val="24"/>
        </w:rPr>
        <w:t xml:space="preserve">a </w:t>
      </w:r>
      <w:r w:rsidR="00C535F2" w:rsidRPr="00C535F2">
        <w:rPr>
          <w:rFonts w:ascii="Times New Roman" w:hAnsi="Times New Roman" w:cs="Times New Roman"/>
          <w:sz w:val="24"/>
          <w:szCs w:val="24"/>
        </w:rPr>
        <w:t xml:space="preserve">distinction. Where </w:t>
      </w:r>
      <w:r w:rsidR="00C535F2" w:rsidRPr="00C535F2">
        <w:rPr>
          <w:rFonts w:ascii="Times New Roman" w:hAnsi="Times New Roman" w:cs="Times New Roman"/>
          <w:i/>
          <w:sz w:val="24"/>
          <w:szCs w:val="24"/>
        </w:rPr>
        <w:t>Virdee v Stewart</w:t>
      </w:r>
      <w:r w:rsidR="00C535F2" w:rsidRPr="00C535F2">
        <w:rPr>
          <w:rFonts w:ascii="Times New Roman" w:hAnsi="Times New Roman" w:cs="Times New Roman"/>
          <w:sz w:val="24"/>
          <w:szCs w:val="24"/>
        </w:rPr>
        <w:t xml:space="preserve"> brought into issue the relationship between the general principles and the established causes of action </w:t>
      </w:r>
      <w:r w:rsidR="00C535F2" w:rsidRPr="00C535F2">
        <w:rPr>
          <w:rFonts w:ascii="Times New Roman" w:hAnsi="Times New Roman" w:cs="Times New Roman"/>
          <w:i/>
          <w:sz w:val="24"/>
          <w:szCs w:val="24"/>
        </w:rPr>
        <w:t>McCarthy</w:t>
      </w:r>
      <w:r w:rsidR="00C535F2" w:rsidRPr="00C535F2">
        <w:rPr>
          <w:rFonts w:ascii="Times New Roman" w:hAnsi="Times New Roman" w:cs="Times New Roman"/>
          <w:sz w:val="24"/>
          <w:szCs w:val="24"/>
        </w:rPr>
        <w:t xml:space="preserve"> by contrast brings into issue the relationship between the various established causes of action once general principles are acknowledged.</w:t>
      </w:r>
    </w:p>
    <w:p w14:paraId="60602CDB" w14:textId="77777777" w:rsidR="00C535F2" w:rsidRPr="00C535F2" w:rsidRDefault="00C535F2" w:rsidP="00F43197">
      <w:pPr>
        <w:spacing w:after="0" w:line="360" w:lineRule="auto"/>
        <w:jc w:val="both"/>
        <w:rPr>
          <w:rFonts w:ascii="Times New Roman" w:hAnsi="Times New Roman" w:cs="Times New Roman"/>
          <w:sz w:val="24"/>
          <w:szCs w:val="24"/>
        </w:rPr>
      </w:pPr>
      <w:r w:rsidRPr="00C535F2">
        <w:rPr>
          <w:rFonts w:ascii="Times New Roman" w:hAnsi="Times New Roman" w:cs="Times New Roman"/>
          <w:sz w:val="24"/>
          <w:szCs w:val="24"/>
        </w:rPr>
        <w:t>The introduction of a general enrichment action would bring together, what were previously separate causes of action, as claims originating out of the application of a general cause of action. Which specific category each claim falls into then potentially becomes much less relevant. The various facts patterns all form part of the same general cause of action in unjustified enrichment. Although specific rules applicable to the various fact patterns might differ, the different categories would not represent distinct causes of action each with its own rationale.  In fact the overlap between the two types of claims that is illustrated by these cases could be taken to be a product of their general character. This is what we would expect of claims that were separated by historical accident with this separation now mainly promoting convenience of analysis.</w:t>
      </w:r>
    </w:p>
    <w:p w14:paraId="64A5AFB6" w14:textId="77777777"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This response would however gloss over how differently these two causes of action (and at the moment these are still two distinct causes of action) would play out if transfer claims were extended to include services. Under the claim as conceived by the court the garage was entitled to claim the value of the improvements to the truck from the owner of the truck. Where however the enrichment is conceived of as a service, the claim would be against the insurer for the value of the expense saved, being the cost of obtaining the repairs or compensating the insured. </w:t>
      </w:r>
    </w:p>
    <w:p w14:paraId="4352D75F" w14:textId="77777777"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In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the quantum had been agreed by the parties so the court simply assumed that this represented the increase in value of the truck as a result of the repairs but it is not clear that, even if this is the case, that </w:t>
      </w:r>
      <w:r w:rsidR="0090155C">
        <w:rPr>
          <w:rFonts w:ascii="Times New Roman" w:hAnsi="Times New Roman" w:cs="Times New Roman"/>
          <w:sz w:val="24"/>
          <w:szCs w:val="24"/>
        </w:rPr>
        <w:t xml:space="preserve">it </w:t>
      </w:r>
      <w:r w:rsidRPr="00C535F2">
        <w:rPr>
          <w:rFonts w:ascii="Times New Roman" w:hAnsi="Times New Roman" w:cs="Times New Roman"/>
          <w:sz w:val="24"/>
          <w:szCs w:val="24"/>
        </w:rPr>
        <w:t>would be the same as the value of the expense which the insurance company was saved. The insured amount and the cost of repairing the vehicle could easily be either more or less than the increase in its value as a result of such repairs. Depending on how the claim is characterized it is potentially against different parties, for different values and, as noted above, the transfer claim would arguably fail where the improvements claim succeeded.</w:t>
      </w:r>
    </w:p>
    <w:p w14:paraId="5C1D33D2" w14:textId="77777777" w:rsid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One rejoinder to this is to point out that Visser has specifically noted that issues surrounding the recognition of a transfer claim for the value of a service will be one of the challenges of implementing the general enrichment action.</w:t>
      </w:r>
      <w:r w:rsidRPr="00C535F2">
        <w:rPr>
          <w:rStyle w:val="FootnoteReference"/>
          <w:rFonts w:ascii="Times New Roman" w:hAnsi="Times New Roman" w:cs="Times New Roman"/>
          <w:sz w:val="24"/>
          <w:szCs w:val="24"/>
        </w:rPr>
        <w:footnoteReference w:id="63"/>
      </w:r>
      <w:r w:rsidRPr="00C535F2">
        <w:rPr>
          <w:rFonts w:ascii="Times New Roman" w:hAnsi="Times New Roman" w:cs="Times New Roman"/>
          <w:sz w:val="24"/>
          <w:szCs w:val="24"/>
        </w:rPr>
        <w:t xml:space="preserve"> This then is perhaps just a matter of going through the probably difficult process of adjusting the rules to accommodate this change. Perhaps as Du Plessis suggests, using the improvements (or imposition) measure of value for valuing transferred services would be a good start.</w:t>
      </w:r>
      <w:r w:rsidRPr="00C535F2">
        <w:rPr>
          <w:rStyle w:val="FootnoteReference"/>
          <w:rFonts w:ascii="Times New Roman" w:hAnsi="Times New Roman" w:cs="Times New Roman"/>
          <w:sz w:val="24"/>
          <w:szCs w:val="24"/>
        </w:rPr>
        <w:footnoteReference w:id="64"/>
      </w:r>
      <w:r w:rsidR="0090155C">
        <w:rPr>
          <w:rFonts w:ascii="Times New Roman" w:hAnsi="Times New Roman" w:cs="Times New Roman"/>
          <w:sz w:val="24"/>
          <w:szCs w:val="24"/>
        </w:rPr>
        <w:t xml:space="preserve"> </w:t>
      </w:r>
      <w:r w:rsidRPr="00C535F2">
        <w:rPr>
          <w:rFonts w:ascii="Times New Roman" w:hAnsi="Times New Roman" w:cs="Times New Roman"/>
          <w:sz w:val="24"/>
          <w:szCs w:val="24"/>
        </w:rPr>
        <w:t>However, Lionel Smith in discussing causes of action in unjust enrichment notes that a defined cause of action should not “lump together juridically distinct justifications for legal recourses”.</w:t>
      </w:r>
      <w:r w:rsidRPr="00C535F2">
        <w:rPr>
          <w:rStyle w:val="FootnoteReference"/>
          <w:rFonts w:ascii="Times New Roman" w:hAnsi="Times New Roman" w:cs="Times New Roman"/>
          <w:sz w:val="24"/>
          <w:szCs w:val="24"/>
        </w:rPr>
        <w:footnoteReference w:id="65"/>
      </w:r>
      <w:r w:rsidRPr="00C535F2">
        <w:rPr>
          <w:rFonts w:ascii="Times New Roman" w:hAnsi="Times New Roman" w:cs="Times New Roman"/>
          <w:sz w:val="24"/>
          <w:szCs w:val="24"/>
        </w:rPr>
        <w:t xml:space="preserve"> If any of the apparently significant differences between the claims is motivated by differences in the justification for allowing the claims, the claims should be defined as separate causes of action. The analysis offered by Evans-Jones certainly supports the argument that, at the relevant level of generality, the motivations for these claims do differ.</w:t>
      </w:r>
    </w:p>
    <w:p w14:paraId="6759F719" w14:textId="3133A202"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Evans-Jones defines both categories in terms of the intention with which the claimant acted. As noted, this means that the categories ca</w:t>
      </w:r>
      <w:r w:rsidR="0090155C">
        <w:rPr>
          <w:rFonts w:ascii="Times New Roman" w:hAnsi="Times New Roman" w:cs="Times New Roman"/>
          <w:sz w:val="24"/>
          <w:szCs w:val="24"/>
        </w:rPr>
        <w:t>nnot</w:t>
      </w:r>
      <w:r w:rsidRPr="00C535F2">
        <w:rPr>
          <w:rFonts w:ascii="Times New Roman" w:hAnsi="Times New Roman" w:cs="Times New Roman"/>
          <w:sz w:val="24"/>
          <w:szCs w:val="24"/>
        </w:rPr>
        <w:t xml:space="preserve"> overlap, the relevant intentions are mutually exclusive. That this is the critical distinguishing factor also suggests that the intention or purpose for which the claimant acted is a central element in each of the claims’ (distinct) justifications.  Smith’s caution that we need to be precise about what exactly justifies a claim seems apposite.</w:t>
      </w:r>
      <w:r w:rsidRPr="00C535F2">
        <w:rPr>
          <w:rStyle w:val="FootnoteReference"/>
          <w:rFonts w:ascii="Times New Roman" w:hAnsi="Times New Roman" w:cs="Times New Roman"/>
          <w:sz w:val="24"/>
          <w:szCs w:val="24"/>
        </w:rPr>
        <w:footnoteReference w:id="66"/>
      </w:r>
      <w:r w:rsidRPr="00C535F2">
        <w:rPr>
          <w:rFonts w:ascii="Times New Roman" w:hAnsi="Times New Roman" w:cs="Times New Roman"/>
          <w:sz w:val="24"/>
          <w:szCs w:val="24"/>
        </w:rPr>
        <w:t xml:space="preserve"> Further support for this need</w:t>
      </w:r>
      <w:r w:rsidR="004C4AC5">
        <w:rPr>
          <w:rFonts w:ascii="Times New Roman" w:hAnsi="Times New Roman" w:cs="Times New Roman"/>
          <w:sz w:val="24"/>
          <w:szCs w:val="24"/>
        </w:rPr>
        <w:t xml:space="preserve"> to</w:t>
      </w:r>
      <w:r w:rsidRPr="00C535F2">
        <w:rPr>
          <w:rFonts w:ascii="Times New Roman" w:hAnsi="Times New Roman" w:cs="Times New Roman"/>
          <w:sz w:val="24"/>
          <w:szCs w:val="24"/>
        </w:rPr>
        <w:t xml:space="preserve"> clearly</w:t>
      </w:r>
      <w:r w:rsidR="004C4AC5">
        <w:rPr>
          <w:rFonts w:ascii="Times New Roman" w:hAnsi="Times New Roman" w:cs="Times New Roman"/>
          <w:sz w:val="24"/>
          <w:szCs w:val="24"/>
        </w:rPr>
        <w:t xml:space="preserve"> </w:t>
      </w:r>
      <w:r w:rsidRPr="00C535F2">
        <w:rPr>
          <w:rFonts w:ascii="Times New Roman" w:hAnsi="Times New Roman" w:cs="Times New Roman"/>
          <w:sz w:val="24"/>
          <w:szCs w:val="24"/>
        </w:rPr>
        <w:t>distinguish the two categories of claims can be found in other sources, such as for example Nils Jansen’s discussion in his farewell to unjustified enrichment.</w:t>
      </w:r>
      <w:r w:rsidRPr="00C535F2">
        <w:rPr>
          <w:rStyle w:val="FootnoteReference"/>
          <w:rFonts w:ascii="Times New Roman" w:hAnsi="Times New Roman" w:cs="Times New Roman"/>
          <w:sz w:val="24"/>
          <w:szCs w:val="24"/>
        </w:rPr>
        <w:footnoteReference w:id="67"/>
      </w:r>
    </w:p>
    <w:p w14:paraId="016964EF" w14:textId="24DB0344" w:rsidR="00C535F2" w:rsidRPr="00C535F2"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This brings us back to a general enrichment action. The premise on which </w:t>
      </w:r>
      <w:r w:rsidR="0090155C">
        <w:rPr>
          <w:rFonts w:ascii="Times New Roman" w:hAnsi="Times New Roman" w:cs="Times New Roman"/>
          <w:sz w:val="24"/>
          <w:szCs w:val="24"/>
        </w:rPr>
        <w:t xml:space="preserve">it </w:t>
      </w:r>
      <w:r w:rsidRPr="00C535F2">
        <w:rPr>
          <w:rFonts w:ascii="Times New Roman" w:hAnsi="Times New Roman" w:cs="Times New Roman"/>
          <w:sz w:val="24"/>
          <w:szCs w:val="24"/>
        </w:rPr>
        <w:t xml:space="preserve">is based is that the various causes of action recognized in the South Africa law of unjustified enrichment can be grouped together as a single cause of action. Although the discussion above does not provide a conclusive objection it does raise some concerns.  </w:t>
      </w:r>
      <w:r w:rsidR="0090155C">
        <w:rPr>
          <w:rFonts w:ascii="Times New Roman" w:hAnsi="Times New Roman" w:cs="Times New Roman"/>
          <w:sz w:val="24"/>
          <w:szCs w:val="24"/>
        </w:rPr>
        <w:t>A</w:t>
      </w:r>
      <w:r w:rsidRPr="00C535F2">
        <w:rPr>
          <w:rFonts w:ascii="Times New Roman" w:hAnsi="Times New Roman" w:cs="Times New Roman"/>
          <w:sz w:val="24"/>
          <w:szCs w:val="24"/>
        </w:rPr>
        <w:t xml:space="preserve">n earlier decision by the Supreme Court of Appeals seemed to suggest that the South African law was heading in a different direction from that advocated in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In </w:t>
      </w:r>
      <w:r w:rsidRPr="00C535F2">
        <w:rPr>
          <w:rFonts w:ascii="Times New Roman" w:hAnsi="Times New Roman" w:cs="Times New Roman"/>
          <w:i/>
          <w:sz w:val="24"/>
          <w:szCs w:val="24"/>
        </w:rPr>
        <w:t xml:space="preserve">Kommissaris van Binnelandse </w:t>
      </w:r>
      <w:r w:rsidR="0074254F">
        <w:rPr>
          <w:rFonts w:ascii="Times New Roman" w:hAnsi="Times New Roman" w:cs="Times New Roman"/>
          <w:i/>
          <w:sz w:val="24"/>
          <w:szCs w:val="24"/>
        </w:rPr>
        <w:t>I</w:t>
      </w:r>
      <w:r w:rsidRPr="00C535F2">
        <w:rPr>
          <w:rFonts w:ascii="Times New Roman" w:hAnsi="Times New Roman" w:cs="Times New Roman"/>
          <w:i/>
          <w:sz w:val="24"/>
          <w:szCs w:val="24"/>
        </w:rPr>
        <w:t>nkomste v Willers</w:t>
      </w:r>
      <w:r w:rsidRPr="0090155C">
        <w:rPr>
          <w:rStyle w:val="FootnoteReference"/>
          <w:rFonts w:ascii="Times New Roman" w:hAnsi="Times New Roman" w:cs="Times New Roman"/>
          <w:sz w:val="24"/>
          <w:szCs w:val="24"/>
        </w:rPr>
        <w:footnoteReference w:id="68"/>
      </w:r>
      <w:r w:rsidRPr="0090155C">
        <w:rPr>
          <w:rFonts w:ascii="Times New Roman" w:hAnsi="Times New Roman" w:cs="Times New Roman"/>
          <w:sz w:val="24"/>
          <w:szCs w:val="24"/>
        </w:rPr>
        <w:t xml:space="preserve"> </w:t>
      </w:r>
      <w:r w:rsidRPr="00C535F2">
        <w:rPr>
          <w:rFonts w:ascii="Times New Roman" w:hAnsi="Times New Roman" w:cs="Times New Roman"/>
          <w:sz w:val="24"/>
          <w:szCs w:val="24"/>
        </w:rPr>
        <w:t xml:space="preserve">the court had found that, contrary to the prevailing opinion, Botha JA’s judgment in </w:t>
      </w:r>
      <w:r w:rsidRPr="00C535F2">
        <w:rPr>
          <w:rFonts w:ascii="Times New Roman" w:hAnsi="Times New Roman" w:cs="Times New Roman"/>
          <w:i/>
          <w:sz w:val="24"/>
          <w:szCs w:val="24"/>
        </w:rPr>
        <w:t>Nortje</w:t>
      </w:r>
      <w:r w:rsidRPr="00C535F2">
        <w:rPr>
          <w:rFonts w:ascii="Times New Roman" w:hAnsi="Times New Roman" w:cs="Times New Roman"/>
          <w:sz w:val="24"/>
          <w:szCs w:val="24"/>
        </w:rPr>
        <w:t xml:space="preserve"> did not require that the law of unjustified enrichment be developed only by incremental extension of the existing causes of action. Rather, courts could, in addition to this, also recognize novel causes of action deriving from the general principles underlying the existing claims.</w:t>
      </w:r>
      <w:r w:rsidRPr="00C535F2">
        <w:rPr>
          <w:rStyle w:val="FootnoteReference"/>
          <w:rFonts w:ascii="Times New Roman" w:hAnsi="Times New Roman" w:cs="Times New Roman"/>
          <w:sz w:val="24"/>
          <w:szCs w:val="24"/>
        </w:rPr>
        <w:footnoteReference w:id="69"/>
      </w:r>
      <w:r w:rsidRPr="00C535F2">
        <w:rPr>
          <w:rFonts w:ascii="Times New Roman" w:hAnsi="Times New Roman" w:cs="Times New Roman"/>
          <w:sz w:val="24"/>
          <w:szCs w:val="24"/>
        </w:rPr>
        <w:t xml:space="preserve"> </w:t>
      </w:r>
    </w:p>
    <w:p w14:paraId="4351D90D" w14:textId="011907B2" w:rsidR="00667F3E"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Schutz JA’s discussion in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elides this distinction between general action and general principle.</w:t>
      </w:r>
      <w:r w:rsidRPr="00C535F2">
        <w:rPr>
          <w:rStyle w:val="FootnoteReference"/>
          <w:rFonts w:ascii="Times New Roman" w:hAnsi="Times New Roman" w:cs="Times New Roman"/>
          <w:sz w:val="24"/>
          <w:szCs w:val="24"/>
        </w:rPr>
        <w:footnoteReference w:id="70"/>
      </w:r>
      <w:r w:rsidRPr="00C535F2">
        <w:rPr>
          <w:rFonts w:ascii="Times New Roman" w:hAnsi="Times New Roman" w:cs="Times New Roman"/>
          <w:sz w:val="24"/>
          <w:szCs w:val="24"/>
        </w:rPr>
        <w:t xml:space="preserve"> He begins his discussion by noting that although the South African law does not give “unqualified” recognition to a unified general principle of unjustified enrichment such general principle is nonetheless significantly relied upon. However, he then shifts the discussion from general principle to a general enrichment action.</w:t>
      </w:r>
      <w:r w:rsidR="00F047DD">
        <w:rPr>
          <w:rFonts w:ascii="Times New Roman" w:hAnsi="Times New Roman" w:cs="Times New Roman"/>
          <w:sz w:val="24"/>
          <w:szCs w:val="24"/>
        </w:rPr>
        <w:t xml:space="preserve"> What he</w:t>
      </w:r>
      <w:r w:rsidRPr="00C535F2">
        <w:rPr>
          <w:rFonts w:ascii="Times New Roman" w:hAnsi="Times New Roman" w:cs="Times New Roman"/>
          <w:sz w:val="24"/>
          <w:szCs w:val="24"/>
        </w:rPr>
        <w:t xml:space="preserve"> neglects to mention is that this role could just as easily be fulfilled by applying the approach in </w:t>
      </w:r>
      <w:r w:rsidRPr="00C535F2">
        <w:rPr>
          <w:rFonts w:ascii="Times New Roman" w:hAnsi="Times New Roman" w:cs="Times New Roman"/>
          <w:i/>
          <w:sz w:val="24"/>
          <w:szCs w:val="24"/>
        </w:rPr>
        <w:t>Willers</w:t>
      </w:r>
      <w:r w:rsidRPr="00C535F2">
        <w:rPr>
          <w:rFonts w:ascii="Times New Roman" w:hAnsi="Times New Roman" w:cs="Times New Roman"/>
          <w:sz w:val="24"/>
          <w:szCs w:val="24"/>
        </w:rPr>
        <w:t xml:space="preserve"> as the alternative he presents in </w:t>
      </w:r>
      <w:r w:rsidRPr="00C535F2">
        <w:rPr>
          <w:rFonts w:ascii="Times New Roman" w:hAnsi="Times New Roman" w:cs="Times New Roman"/>
          <w:i/>
          <w:sz w:val="24"/>
          <w:szCs w:val="24"/>
        </w:rPr>
        <w:t>McCarthy.</w:t>
      </w:r>
      <w:r w:rsidRPr="00C535F2">
        <w:rPr>
          <w:rFonts w:ascii="Times New Roman" w:hAnsi="Times New Roman" w:cs="Times New Roman"/>
          <w:sz w:val="24"/>
          <w:szCs w:val="24"/>
        </w:rPr>
        <w:t xml:space="preserve"> Visser suggests that the approach of Botha JA in </w:t>
      </w:r>
      <w:r w:rsidRPr="00C535F2">
        <w:rPr>
          <w:rFonts w:ascii="Times New Roman" w:hAnsi="Times New Roman" w:cs="Times New Roman"/>
          <w:i/>
          <w:sz w:val="24"/>
          <w:szCs w:val="24"/>
        </w:rPr>
        <w:t>Willers</w:t>
      </w:r>
      <w:r w:rsidRPr="00C535F2">
        <w:rPr>
          <w:rFonts w:ascii="Times New Roman" w:hAnsi="Times New Roman" w:cs="Times New Roman"/>
          <w:sz w:val="24"/>
          <w:szCs w:val="24"/>
        </w:rPr>
        <w:t xml:space="preserve"> would have left the South African law without a clear framework for its development.</w:t>
      </w:r>
      <w:r w:rsidRPr="00C535F2">
        <w:rPr>
          <w:rStyle w:val="FootnoteReference"/>
          <w:rFonts w:ascii="Times New Roman" w:hAnsi="Times New Roman" w:cs="Times New Roman"/>
          <w:sz w:val="24"/>
          <w:szCs w:val="24"/>
        </w:rPr>
        <w:footnoteReference w:id="71"/>
      </w:r>
      <w:r w:rsidRPr="00C535F2">
        <w:rPr>
          <w:rFonts w:ascii="Times New Roman" w:hAnsi="Times New Roman" w:cs="Times New Roman"/>
          <w:sz w:val="24"/>
          <w:szCs w:val="24"/>
        </w:rPr>
        <w:t xml:space="preserve"> </w:t>
      </w:r>
      <w:r w:rsidRPr="00C535F2">
        <w:rPr>
          <w:rFonts w:ascii="Times New Roman" w:hAnsi="Times New Roman" w:cs="Times New Roman"/>
          <w:i/>
          <w:sz w:val="24"/>
          <w:szCs w:val="24"/>
        </w:rPr>
        <w:t>McCarthy</w:t>
      </w:r>
      <w:r w:rsidRPr="00C535F2">
        <w:rPr>
          <w:rFonts w:ascii="Times New Roman" w:hAnsi="Times New Roman" w:cs="Times New Roman"/>
          <w:sz w:val="24"/>
          <w:szCs w:val="24"/>
        </w:rPr>
        <w:t>, he states, significantly changes this.</w:t>
      </w:r>
      <w:r w:rsidRPr="00C535F2">
        <w:rPr>
          <w:rStyle w:val="FootnoteReference"/>
          <w:rFonts w:ascii="Times New Roman" w:hAnsi="Times New Roman" w:cs="Times New Roman"/>
          <w:sz w:val="24"/>
          <w:szCs w:val="24"/>
        </w:rPr>
        <w:footnoteReference w:id="72"/>
      </w:r>
    </w:p>
    <w:p w14:paraId="3600925A" w14:textId="342D2C17" w:rsidR="00667F3E" w:rsidRDefault="00C535F2" w:rsidP="00F43197">
      <w:pPr>
        <w:spacing w:after="0" w:line="360" w:lineRule="auto"/>
        <w:ind w:firstLine="720"/>
        <w:jc w:val="both"/>
        <w:rPr>
          <w:rFonts w:ascii="Times New Roman" w:hAnsi="Times New Roman" w:cs="Times New Roman"/>
          <w:sz w:val="24"/>
          <w:szCs w:val="24"/>
        </w:rPr>
      </w:pPr>
      <w:r w:rsidRPr="00C535F2">
        <w:rPr>
          <w:rFonts w:ascii="Times New Roman" w:hAnsi="Times New Roman" w:cs="Times New Roman"/>
          <w:sz w:val="24"/>
          <w:szCs w:val="24"/>
        </w:rPr>
        <w:t xml:space="preserve">It is not entirely clear that this is the case. The four general requirements for liability in unjustified enrichment applied in South African law, when seen as the expression of general principle rather than as elements of a general cause of action, would seem to provide the framework for which Visser advocates. This also seems to be the direction in which the English law of </w:t>
      </w:r>
      <w:r w:rsidR="00F047DD">
        <w:rPr>
          <w:rFonts w:ascii="Times New Roman" w:hAnsi="Times New Roman" w:cs="Times New Roman"/>
          <w:sz w:val="24"/>
          <w:szCs w:val="24"/>
        </w:rPr>
        <w:t>u</w:t>
      </w:r>
      <w:r w:rsidRPr="00C535F2">
        <w:rPr>
          <w:rFonts w:ascii="Times New Roman" w:hAnsi="Times New Roman" w:cs="Times New Roman"/>
          <w:sz w:val="24"/>
          <w:szCs w:val="24"/>
        </w:rPr>
        <w:t xml:space="preserve">njust </w:t>
      </w:r>
      <w:r w:rsidR="00F047DD">
        <w:rPr>
          <w:rFonts w:ascii="Times New Roman" w:hAnsi="Times New Roman" w:cs="Times New Roman"/>
          <w:sz w:val="24"/>
          <w:szCs w:val="24"/>
        </w:rPr>
        <w:t>e</w:t>
      </w:r>
      <w:r w:rsidRPr="00C535F2">
        <w:rPr>
          <w:rFonts w:ascii="Times New Roman" w:hAnsi="Times New Roman" w:cs="Times New Roman"/>
          <w:sz w:val="24"/>
          <w:szCs w:val="24"/>
        </w:rPr>
        <w:t>nrichment is going. So</w:t>
      </w:r>
      <w:r w:rsidR="001924A5">
        <w:rPr>
          <w:rFonts w:ascii="Times New Roman" w:hAnsi="Times New Roman" w:cs="Times New Roman"/>
          <w:sz w:val="24"/>
          <w:szCs w:val="24"/>
        </w:rPr>
        <w:t>,</w:t>
      </w:r>
      <w:r w:rsidRPr="00C535F2">
        <w:rPr>
          <w:rFonts w:ascii="Times New Roman" w:hAnsi="Times New Roman" w:cs="Times New Roman"/>
          <w:sz w:val="24"/>
          <w:szCs w:val="24"/>
        </w:rPr>
        <w:t xml:space="preserve"> in </w:t>
      </w:r>
      <w:r w:rsidR="004C4AC5" w:rsidRPr="00C535F2">
        <w:rPr>
          <w:rFonts w:ascii="Times New Roman" w:hAnsi="Times New Roman" w:cs="Times New Roman"/>
          <w:i/>
          <w:lang w:val="en-US"/>
        </w:rPr>
        <w:t>The Commissioners for Her Majesty's Revenue and Customs v The Investment Trust Companies (in liquidation)</w:t>
      </w:r>
      <w:r w:rsidR="004C4AC5" w:rsidRPr="0019687C">
        <w:rPr>
          <w:rFonts w:ascii="Times New Roman" w:hAnsi="Times New Roman"/>
          <w:lang w:val="en-US"/>
        </w:rPr>
        <w:t xml:space="preserve"> </w:t>
      </w:r>
      <w:r w:rsidRPr="00C535F2">
        <w:rPr>
          <w:rFonts w:ascii="Times New Roman" w:hAnsi="Times New Roman" w:cs="Times New Roman"/>
          <w:sz w:val="24"/>
          <w:szCs w:val="24"/>
        </w:rPr>
        <w:t>the UK Supreme Court noted that the analogous “four questions” in the English law are “no more than broad headings”.</w:t>
      </w:r>
      <w:r w:rsidRPr="00C535F2">
        <w:rPr>
          <w:rStyle w:val="FootnoteReference"/>
          <w:rFonts w:ascii="Times New Roman" w:hAnsi="Times New Roman" w:cs="Times New Roman"/>
          <w:sz w:val="24"/>
          <w:szCs w:val="24"/>
        </w:rPr>
        <w:t xml:space="preserve"> </w:t>
      </w:r>
      <w:r w:rsidRPr="00C535F2">
        <w:rPr>
          <w:rStyle w:val="FootnoteReference"/>
          <w:rFonts w:ascii="Times New Roman" w:hAnsi="Times New Roman" w:cs="Times New Roman"/>
          <w:sz w:val="24"/>
          <w:szCs w:val="24"/>
        </w:rPr>
        <w:footnoteReference w:id="73"/>
      </w:r>
      <w:r w:rsidRPr="00C535F2">
        <w:rPr>
          <w:rFonts w:ascii="Times New Roman" w:hAnsi="Times New Roman" w:cs="Times New Roman"/>
          <w:sz w:val="24"/>
          <w:szCs w:val="24"/>
        </w:rPr>
        <w:t xml:space="preserve"> </w:t>
      </w:r>
      <w:r w:rsidR="00F047DD">
        <w:rPr>
          <w:rFonts w:ascii="Times New Roman" w:hAnsi="Times New Roman" w:cs="Times New Roman"/>
          <w:sz w:val="24"/>
          <w:szCs w:val="24"/>
        </w:rPr>
        <w:t>This</w:t>
      </w:r>
      <w:r w:rsidRPr="00C535F2">
        <w:rPr>
          <w:rFonts w:ascii="Times New Roman" w:hAnsi="Times New Roman" w:cs="Times New Roman"/>
          <w:sz w:val="24"/>
          <w:szCs w:val="24"/>
        </w:rPr>
        <w:t xml:space="preserve"> has the advantage of avoiding incorrectly lumping together the potentially different causes of action arising in the law of unjustified enrichment in South Africa.</w:t>
      </w:r>
    </w:p>
    <w:p w14:paraId="3CBA4CBD" w14:textId="0115D2A7" w:rsidR="00F43197" w:rsidRPr="00F43197" w:rsidRDefault="00F43197" w:rsidP="00F43197">
      <w:pPr>
        <w:keepNext/>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Conclusion</w:t>
      </w:r>
    </w:p>
    <w:p w14:paraId="4EFB68B3" w14:textId="312AD711" w:rsidR="00F765BA" w:rsidRPr="00C535F2" w:rsidRDefault="00F43197" w:rsidP="00F431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19687C">
        <w:rPr>
          <w:rFonts w:ascii="Times New Roman" w:hAnsi="Times New Roman" w:cs="Times New Roman"/>
          <w:sz w:val="24"/>
          <w:szCs w:val="24"/>
        </w:rPr>
        <w:t xml:space="preserve">s Scots law illustrates with the </w:t>
      </w:r>
      <w:r w:rsidR="0019687C">
        <w:rPr>
          <w:rFonts w:ascii="Times New Roman" w:hAnsi="Times New Roman" w:cs="Times New Roman"/>
          <w:i/>
          <w:sz w:val="24"/>
          <w:szCs w:val="24"/>
        </w:rPr>
        <w:t xml:space="preserve">Virdee </w:t>
      </w:r>
      <w:r>
        <w:rPr>
          <w:rFonts w:ascii="Times New Roman" w:hAnsi="Times New Roman" w:cs="Times New Roman"/>
          <w:sz w:val="24"/>
          <w:szCs w:val="24"/>
        </w:rPr>
        <w:t>decision, applying the standards from one category of enrichment claim when deciding on a claim falling into a different category</w:t>
      </w:r>
      <w:r w:rsidR="0019687C">
        <w:rPr>
          <w:rFonts w:ascii="Times New Roman" w:hAnsi="Times New Roman" w:cs="Times New Roman"/>
          <w:sz w:val="24"/>
          <w:szCs w:val="24"/>
        </w:rPr>
        <w:t xml:space="preserve"> has its potential pitfalls. </w:t>
      </w:r>
      <w:r w:rsidR="00AE628C">
        <w:rPr>
          <w:rFonts w:ascii="Times New Roman" w:hAnsi="Times New Roman" w:cs="Times New Roman"/>
          <w:sz w:val="24"/>
          <w:szCs w:val="24"/>
        </w:rPr>
        <w:t xml:space="preserve">The application by </w:t>
      </w:r>
      <w:r w:rsidR="0019687C">
        <w:rPr>
          <w:rFonts w:ascii="Times New Roman" w:hAnsi="Times New Roman" w:cs="Times New Roman"/>
          <w:sz w:val="24"/>
          <w:szCs w:val="24"/>
        </w:rPr>
        <w:t xml:space="preserve">Lady Smith </w:t>
      </w:r>
      <w:r w:rsidR="00AE628C">
        <w:rPr>
          <w:rFonts w:ascii="Times New Roman" w:hAnsi="Times New Roman" w:cs="Times New Roman"/>
          <w:sz w:val="24"/>
          <w:szCs w:val="24"/>
        </w:rPr>
        <w:t xml:space="preserve">of the general </w:t>
      </w:r>
      <w:r w:rsidR="0019687C">
        <w:rPr>
          <w:rFonts w:ascii="Times New Roman" w:hAnsi="Times New Roman" w:cs="Times New Roman"/>
          <w:sz w:val="24"/>
          <w:szCs w:val="24"/>
        </w:rPr>
        <w:t xml:space="preserve">principle instead of dealing with the </w:t>
      </w:r>
      <w:r w:rsidR="00AE628C">
        <w:rPr>
          <w:rFonts w:ascii="Times New Roman" w:hAnsi="Times New Roman" w:cs="Times New Roman"/>
          <w:sz w:val="24"/>
          <w:szCs w:val="24"/>
        </w:rPr>
        <w:t xml:space="preserve">facts </w:t>
      </w:r>
      <w:r w:rsidR="0019687C">
        <w:rPr>
          <w:rFonts w:ascii="Times New Roman" w:hAnsi="Times New Roman" w:cs="Times New Roman"/>
          <w:sz w:val="24"/>
          <w:szCs w:val="24"/>
        </w:rPr>
        <w:t xml:space="preserve">under one of the established causes of action </w:t>
      </w:r>
      <w:r w:rsidR="00AE628C">
        <w:rPr>
          <w:rFonts w:ascii="Times New Roman" w:hAnsi="Times New Roman" w:cs="Times New Roman"/>
          <w:sz w:val="24"/>
          <w:szCs w:val="24"/>
        </w:rPr>
        <w:t xml:space="preserve"> was </w:t>
      </w:r>
      <w:r w:rsidR="0019687C">
        <w:rPr>
          <w:rFonts w:ascii="Times New Roman" w:hAnsi="Times New Roman" w:cs="Times New Roman"/>
          <w:sz w:val="24"/>
          <w:szCs w:val="24"/>
        </w:rPr>
        <w:t xml:space="preserve">a source of confusion.  </w:t>
      </w:r>
    </w:p>
    <w:p w14:paraId="4F94D3B2" w14:textId="40259309" w:rsidR="00C535F2" w:rsidRDefault="0067222A" w:rsidP="0067222A">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By failing to appreciate the differences between the two different categories of claims in terms of which the facts of </w:t>
      </w:r>
      <w:r>
        <w:rPr>
          <w:rFonts w:ascii="Times New Roman" w:hAnsi="Times New Roman" w:cs="Times New Roman"/>
          <w:i/>
          <w:iCs/>
          <w:sz w:val="24"/>
          <w:szCs w:val="24"/>
        </w:rPr>
        <w:t xml:space="preserve">McCarthy Retail </w:t>
      </w:r>
      <w:r>
        <w:rPr>
          <w:rFonts w:ascii="Times New Roman" w:hAnsi="Times New Roman" w:cs="Times New Roman"/>
          <w:iCs/>
          <w:sz w:val="24"/>
          <w:szCs w:val="24"/>
        </w:rPr>
        <w:t xml:space="preserve">can be analysed the South African Supreme Court </w:t>
      </w:r>
      <w:r w:rsidR="00AE628C">
        <w:rPr>
          <w:rFonts w:ascii="Times New Roman" w:hAnsi="Times New Roman" w:cs="Times New Roman"/>
          <w:iCs/>
          <w:sz w:val="24"/>
          <w:szCs w:val="24"/>
        </w:rPr>
        <w:t>has fallen i</w:t>
      </w:r>
      <w:r>
        <w:rPr>
          <w:rFonts w:ascii="Times New Roman" w:hAnsi="Times New Roman" w:cs="Times New Roman"/>
          <w:iCs/>
          <w:sz w:val="24"/>
          <w:szCs w:val="24"/>
        </w:rPr>
        <w:t xml:space="preserve">nto </w:t>
      </w:r>
      <w:r w:rsidR="00AE628C">
        <w:rPr>
          <w:rFonts w:ascii="Times New Roman" w:hAnsi="Times New Roman" w:cs="Times New Roman"/>
          <w:iCs/>
          <w:sz w:val="24"/>
          <w:szCs w:val="24"/>
        </w:rPr>
        <w:t xml:space="preserve">a similar </w:t>
      </w:r>
      <w:r>
        <w:rPr>
          <w:rFonts w:ascii="Times New Roman" w:hAnsi="Times New Roman" w:cs="Times New Roman"/>
          <w:iCs/>
          <w:sz w:val="24"/>
          <w:szCs w:val="24"/>
        </w:rPr>
        <w:t xml:space="preserve">trap </w:t>
      </w:r>
      <w:r w:rsidR="00AE628C">
        <w:rPr>
          <w:rFonts w:ascii="Times New Roman" w:hAnsi="Times New Roman" w:cs="Times New Roman"/>
          <w:iCs/>
          <w:sz w:val="24"/>
          <w:szCs w:val="24"/>
        </w:rPr>
        <w:t xml:space="preserve">as </w:t>
      </w:r>
      <w:r>
        <w:rPr>
          <w:rFonts w:ascii="Times New Roman" w:hAnsi="Times New Roman" w:cs="Times New Roman"/>
          <w:iCs/>
          <w:sz w:val="24"/>
          <w:szCs w:val="24"/>
        </w:rPr>
        <w:t xml:space="preserve">Lady Smith in </w:t>
      </w:r>
      <w:r>
        <w:rPr>
          <w:rFonts w:ascii="Times New Roman" w:hAnsi="Times New Roman" w:cs="Times New Roman"/>
          <w:i/>
          <w:iCs/>
          <w:sz w:val="24"/>
          <w:szCs w:val="24"/>
        </w:rPr>
        <w:t>Virdee</w:t>
      </w:r>
      <w:r w:rsidR="00AE628C">
        <w:rPr>
          <w:rFonts w:ascii="Times New Roman" w:hAnsi="Times New Roman" w:cs="Times New Roman"/>
          <w:iCs/>
          <w:sz w:val="24"/>
          <w:szCs w:val="24"/>
        </w:rPr>
        <w:t xml:space="preserve">. The South African judges did not </w:t>
      </w:r>
      <w:r>
        <w:rPr>
          <w:rFonts w:ascii="Times New Roman" w:hAnsi="Times New Roman" w:cs="Times New Roman"/>
          <w:iCs/>
          <w:sz w:val="24"/>
          <w:szCs w:val="24"/>
        </w:rPr>
        <w:t>apply a general principle</w:t>
      </w:r>
      <w:r w:rsidR="00AE628C">
        <w:rPr>
          <w:rFonts w:ascii="Times New Roman" w:hAnsi="Times New Roman" w:cs="Times New Roman"/>
          <w:iCs/>
          <w:sz w:val="24"/>
          <w:szCs w:val="24"/>
        </w:rPr>
        <w:t xml:space="preserve"> inappropriately; they rather</w:t>
      </w:r>
      <w:r>
        <w:rPr>
          <w:rFonts w:ascii="Times New Roman" w:hAnsi="Times New Roman" w:cs="Times New Roman"/>
          <w:iCs/>
          <w:sz w:val="24"/>
          <w:szCs w:val="24"/>
        </w:rPr>
        <w:t xml:space="preserve"> </w:t>
      </w:r>
      <w:r w:rsidR="00AE628C">
        <w:rPr>
          <w:rFonts w:ascii="Times New Roman" w:hAnsi="Times New Roman" w:cs="Times New Roman"/>
          <w:iCs/>
          <w:sz w:val="24"/>
          <w:szCs w:val="24"/>
        </w:rPr>
        <w:t>applied the wrong principles -</w:t>
      </w:r>
      <w:r>
        <w:rPr>
          <w:rFonts w:ascii="Times New Roman" w:hAnsi="Times New Roman" w:cs="Times New Roman"/>
          <w:iCs/>
          <w:sz w:val="24"/>
          <w:szCs w:val="24"/>
        </w:rPr>
        <w:t xml:space="preserve"> those related to improvements </w:t>
      </w:r>
      <w:r w:rsidR="00AE628C">
        <w:rPr>
          <w:rFonts w:ascii="Times New Roman" w:hAnsi="Times New Roman" w:cs="Times New Roman"/>
          <w:iCs/>
          <w:sz w:val="24"/>
          <w:szCs w:val="24"/>
        </w:rPr>
        <w:t xml:space="preserve">- </w:t>
      </w:r>
      <w:r>
        <w:rPr>
          <w:rFonts w:ascii="Times New Roman" w:hAnsi="Times New Roman" w:cs="Times New Roman"/>
          <w:iCs/>
          <w:sz w:val="24"/>
          <w:szCs w:val="24"/>
        </w:rPr>
        <w:t xml:space="preserve">to the facts of </w:t>
      </w:r>
      <w:r w:rsidR="00571E92">
        <w:rPr>
          <w:rFonts w:ascii="Times New Roman" w:hAnsi="Times New Roman" w:cs="Times New Roman"/>
          <w:iCs/>
          <w:sz w:val="24"/>
          <w:szCs w:val="24"/>
        </w:rPr>
        <w:t>a</w:t>
      </w:r>
      <w:r>
        <w:rPr>
          <w:rFonts w:ascii="Times New Roman" w:hAnsi="Times New Roman" w:cs="Times New Roman"/>
          <w:iCs/>
          <w:sz w:val="24"/>
          <w:szCs w:val="24"/>
        </w:rPr>
        <w:t xml:space="preserve"> case</w:t>
      </w:r>
      <w:r w:rsidR="00571E92">
        <w:rPr>
          <w:rFonts w:ascii="Times New Roman" w:hAnsi="Times New Roman" w:cs="Times New Roman"/>
          <w:iCs/>
          <w:sz w:val="24"/>
          <w:szCs w:val="24"/>
        </w:rPr>
        <w:t xml:space="preserve"> to which “transfer” rules should have been applied</w:t>
      </w:r>
      <w:r>
        <w:rPr>
          <w:rFonts w:ascii="Times New Roman" w:hAnsi="Times New Roman" w:cs="Times New Roman"/>
          <w:iCs/>
          <w:sz w:val="24"/>
          <w:szCs w:val="24"/>
        </w:rPr>
        <w:t xml:space="preserve">. This </w:t>
      </w:r>
      <w:r w:rsidR="00AE628C">
        <w:rPr>
          <w:rFonts w:ascii="Times New Roman" w:hAnsi="Times New Roman" w:cs="Times New Roman"/>
          <w:iCs/>
          <w:sz w:val="24"/>
          <w:szCs w:val="24"/>
        </w:rPr>
        <w:t xml:space="preserve">happened because they failed </w:t>
      </w:r>
      <w:r>
        <w:rPr>
          <w:rFonts w:ascii="Times New Roman" w:hAnsi="Times New Roman" w:cs="Times New Roman"/>
          <w:iCs/>
          <w:sz w:val="24"/>
          <w:szCs w:val="24"/>
        </w:rPr>
        <w:t xml:space="preserve">to interrogate the basis on which they were categorising the case as one of improvements, which was essentially founded on historical accident. Principled arguments illustrate that the case is best analysed as one of “transfer” to which the rules on the </w:t>
      </w:r>
      <w:r>
        <w:rPr>
          <w:rFonts w:ascii="Times New Roman" w:hAnsi="Times New Roman" w:cs="Times New Roman"/>
          <w:i/>
          <w:iCs/>
          <w:sz w:val="24"/>
          <w:szCs w:val="24"/>
        </w:rPr>
        <w:t xml:space="preserve">condictio </w:t>
      </w:r>
      <w:r>
        <w:rPr>
          <w:rFonts w:ascii="Times New Roman" w:hAnsi="Times New Roman" w:cs="Times New Roman"/>
          <w:iCs/>
          <w:sz w:val="24"/>
          <w:szCs w:val="24"/>
        </w:rPr>
        <w:t>type claims should apply.</w:t>
      </w:r>
    </w:p>
    <w:p w14:paraId="651D05A6" w14:textId="2E016C3D" w:rsidR="0067222A" w:rsidRDefault="0067222A" w:rsidP="0006081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The result of this failure was inappropriately </w:t>
      </w:r>
      <w:r w:rsidR="00571E92">
        <w:rPr>
          <w:rFonts w:ascii="Times New Roman" w:hAnsi="Times New Roman" w:cs="Times New Roman"/>
          <w:iCs/>
          <w:sz w:val="24"/>
          <w:szCs w:val="24"/>
        </w:rPr>
        <w:t xml:space="preserve">to </w:t>
      </w:r>
      <w:r>
        <w:rPr>
          <w:rFonts w:ascii="Times New Roman" w:hAnsi="Times New Roman" w:cs="Times New Roman"/>
          <w:iCs/>
          <w:sz w:val="24"/>
          <w:szCs w:val="24"/>
        </w:rPr>
        <w:t>put the burden of the cost of the improvements on the owner of the vehicle, who had had no dealings with the garage on this point, rather than</w:t>
      </w:r>
      <w:r w:rsidR="00A338D3">
        <w:rPr>
          <w:rFonts w:ascii="Times New Roman" w:hAnsi="Times New Roman" w:cs="Times New Roman"/>
          <w:iCs/>
          <w:sz w:val="24"/>
          <w:szCs w:val="24"/>
        </w:rPr>
        <w:t xml:space="preserve"> on</w:t>
      </w:r>
      <w:r>
        <w:rPr>
          <w:rFonts w:ascii="Times New Roman" w:hAnsi="Times New Roman" w:cs="Times New Roman"/>
          <w:iCs/>
          <w:sz w:val="24"/>
          <w:szCs w:val="24"/>
        </w:rPr>
        <w:t xml:space="preserve"> the </w:t>
      </w:r>
      <w:r w:rsidR="00571E92">
        <w:rPr>
          <w:rFonts w:ascii="Times New Roman" w:hAnsi="Times New Roman" w:cs="Times New Roman"/>
          <w:iCs/>
          <w:sz w:val="24"/>
          <w:szCs w:val="24"/>
        </w:rPr>
        <w:t>insurer</w:t>
      </w:r>
      <w:r>
        <w:rPr>
          <w:rFonts w:ascii="Times New Roman" w:hAnsi="Times New Roman" w:cs="Times New Roman"/>
          <w:iCs/>
          <w:sz w:val="24"/>
          <w:szCs w:val="24"/>
        </w:rPr>
        <w:t xml:space="preserve">, with </w:t>
      </w:r>
      <w:r w:rsidR="00571E92">
        <w:rPr>
          <w:rFonts w:ascii="Times New Roman" w:hAnsi="Times New Roman" w:cs="Times New Roman"/>
          <w:iCs/>
          <w:sz w:val="24"/>
          <w:szCs w:val="24"/>
        </w:rPr>
        <w:t>whose</w:t>
      </w:r>
      <w:r>
        <w:rPr>
          <w:rFonts w:ascii="Times New Roman" w:hAnsi="Times New Roman" w:cs="Times New Roman"/>
          <w:iCs/>
          <w:sz w:val="24"/>
          <w:szCs w:val="24"/>
        </w:rPr>
        <w:t xml:space="preserve"> agent the garage owner had been interacting. </w:t>
      </w:r>
      <w:r w:rsidR="00571E92">
        <w:rPr>
          <w:rFonts w:ascii="Times New Roman" w:hAnsi="Times New Roman" w:cs="Times New Roman"/>
          <w:iCs/>
          <w:sz w:val="24"/>
          <w:szCs w:val="24"/>
        </w:rPr>
        <w:t xml:space="preserve">The simple assumption that this was a “typical” improvements case because it involved the improvement of property fundamentally misunderstands the principled basis on which “improvements” cases </w:t>
      </w:r>
      <w:r w:rsidR="00A338D3">
        <w:rPr>
          <w:rFonts w:ascii="Times New Roman" w:hAnsi="Times New Roman" w:cs="Times New Roman"/>
          <w:iCs/>
          <w:sz w:val="24"/>
          <w:szCs w:val="24"/>
        </w:rPr>
        <w:t xml:space="preserve">must </w:t>
      </w:r>
      <w:r w:rsidR="00571E92">
        <w:rPr>
          <w:rFonts w:ascii="Times New Roman" w:hAnsi="Times New Roman" w:cs="Times New Roman"/>
          <w:iCs/>
          <w:sz w:val="24"/>
          <w:szCs w:val="24"/>
        </w:rPr>
        <w:t>be distinguished from “transfer” cases. This basis arises from the intention of the party conferring the benefit and not</w:t>
      </w:r>
      <w:r w:rsidR="00BB21DB">
        <w:rPr>
          <w:rFonts w:ascii="Times New Roman" w:hAnsi="Times New Roman" w:cs="Times New Roman"/>
          <w:iCs/>
          <w:sz w:val="24"/>
          <w:szCs w:val="24"/>
        </w:rPr>
        <w:t xml:space="preserve"> from</w:t>
      </w:r>
      <w:r w:rsidR="00571E92">
        <w:rPr>
          <w:rFonts w:ascii="Times New Roman" w:hAnsi="Times New Roman" w:cs="Times New Roman"/>
          <w:iCs/>
          <w:sz w:val="24"/>
          <w:szCs w:val="24"/>
        </w:rPr>
        <w:t xml:space="preserve"> the fact of the improvement of someone else’s property. As it was the insurer on which the garage intended to confer the benefit (rather than acting to benefit itself as owner/possessor) the case is a “transfer” case</w:t>
      </w:r>
      <w:r w:rsidR="00907891">
        <w:rPr>
          <w:rFonts w:ascii="Times New Roman" w:hAnsi="Times New Roman" w:cs="Times New Roman"/>
          <w:iCs/>
          <w:sz w:val="24"/>
          <w:szCs w:val="24"/>
        </w:rPr>
        <w:t>.</w:t>
      </w:r>
      <w:r w:rsidR="00571E92">
        <w:rPr>
          <w:rFonts w:ascii="Times New Roman" w:hAnsi="Times New Roman" w:cs="Times New Roman"/>
          <w:iCs/>
          <w:sz w:val="24"/>
          <w:szCs w:val="24"/>
        </w:rPr>
        <w:t xml:space="preserve"> </w:t>
      </w:r>
      <w:r w:rsidR="00907891">
        <w:rPr>
          <w:rFonts w:ascii="Times New Roman" w:hAnsi="Times New Roman" w:cs="Times New Roman"/>
          <w:iCs/>
          <w:sz w:val="24"/>
          <w:szCs w:val="24"/>
        </w:rPr>
        <w:t>This would mean that</w:t>
      </w:r>
      <w:r w:rsidR="00571E92">
        <w:rPr>
          <w:rFonts w:ascii="Times New Roman" w:hAnsi="Times New Roman" w:cs="Times New Roman"/>
          <w:iCs/>
          <w:sz w:val="24"/>
          <w:szCs w:val="24"/>
        </w:rPr>
        <w:t xml:space="preserve"> the claim should have been directed towards the intended beneficiary of the work, the insurer</w:t>
      </w:r>
      <w:r w:rsidR="00907891">
        <w:rPr>
          <w:rFonts w:ascii="Times New Roman" w:hAnsi="Times New Roman" w:cs="Times New Roman"/>
          <w:iCs/>
          <w:sz w:val="24"/>
          <w:szCs w:val="24"/>
        </w:rPr>
        <w:t xml:space="preserve">, </w:t>
      </w:r>
      <w:r w:rsidR="00BB21DB">
        <w:rPr>
          <w:rFonts w:ascii="Times New Roman" w:hAnsi="Times New Roman" w:cs="Times New Roman"/>
          <w:iCs/>
          <w:sz w:val="24"/>
          <w:szCs w:val="24"/>
        </w:rPr>
        <w:t xml:space="preserve">thereby </w:t>
      </w:r>
      <w:r w:rsidR="00907891">
        <w:rPr>
          <w:rFonts w:ascii="Times New Roman" w:hAnsi="Times New Roman" w:cs="Times New Roman"/>
          <w:iCs/>
          <w:sz w:val="24"/>
          <w:szCs w:val="24"/>
        </w:rPr>
        <w:t>correctly allocating the risk of the costs of the repair as something to be determined between the garage and insurer</w:t>
      </w:r>
      <w:r w:rsidR="00571E92">
        <w:rPr>
          <w:rFonts w:ascii="Times New Roman" w:hAnsi="Times New Roman" w:cs="Times New Roman"/>
          <w:iCs/>
          <w:sz w:val="24"/>
          <w:szCs w:val="24"/>
        </w:rPr>
        <w:t>.</w:t>
      </w:r>
    </w:p>
    <w:p w14:paraId="0A6421AD" w14:textId="5FE3208C" w:rsidR="00571E92" w:rsidRPr="00C535F2" w:rsidRDefault="00571E92" w:rsidP="00571E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40C10">
        <w:rPr>
          <w:rFonts w:ascii="Times New Roman" w:hAnsi="Times New Roman" w:cs="Times New Roman"/>
          <w:sz w:val="24"/>
          <w:szCs w:val="24"/>
        </w:rPr>
        <w:t xml:space="preserve">unjustified enrichment </w:t>
      </w:r>
      <w:r>
        <w:rPr>
          <w:rFonts w:ascii="Times New Roman" w:hAnsi="Times New Roman" w:cs="Times New Roman"/>
          <w:sz w:val="24"/>
          <w:szCs w:val="24"/>
        </w:rPr>
        <w:t>“revolution</w:t>
      </w:r>
      <w:r w:rsidR="00C40C10">
        <w:rPr>
          <w:rFonts w:ascii="Times New Roman" w:hAnsi="Times New Roman" w:cs="Times New Roman"/>
          <w:sz w:val="24"/>
          <w:szCs w:val="24"/>
        </w:rPr>
        <w:t>s</w:t>
      </w:r>
      <w:r>
        <w:rPr>
          <w:rFonts w:ascii="Times New Roman" w:hAnsi="Times New Roman" w:cs="Times New Roman"/>
          <w:sz w:val="24"/>
          <w:szCs w:val="24"/>
        </w:rPr>
        <w:t>”</w:t>
      </w:r>
      <w:r w:rsidR="00C40C10">
        <w:rPr>
          <w:rFonts w:ascii="Times New Roman" w:hAnsi="Times New Roman" w:cs="Times New Roman"/>
          <w:sz w:val="24"/>
          <w:szCs w:val="24"/>
        </w:rPr>
        <w:t xml:space="preserve">, if such they be, are </w:t>
      </w:r>
      <w:r>
        <w:rPr>
          <w:rFonts w:ascii="Times New Roman" w:hAnsi="Times New Roman" w:cs="Times New Roman"/>
          <w:sz w:val="24"/>
          <w:szCs w:val="24"/>
        </w:rPr>
        <w:t xml:space="preserve">yet young </w:t>
      </w:r>
      <w:r w:rsidR="00C40C10" w:rsidRPr="00C40C10">
        <w:rPr>
          <w:rFonts w:ascii="Times New Roman" w:hAnsi="Times New Roman" w:cs="Times New Roman"/>
          <w:sz w:val="24"/>
          <w:szCs w:val="24"/>
        </w:rPr>
        <w:t xml:space="preserve">in Scotland and South Africa </w:t>
      </w:r>
      <w:r>
        <w:rPr>
          <w:rFonts w:ascii="Times New Roman" w:hAnsi="Times New Roman" w:cs="Times New Roman"/>
          <w:sz w:val="24"/>
          <w:szCs w:val="24"/>
        </w:rPr>
        <w:t>and it remains to be seen whether the recognition of general principle in unjustified enrichment is capable of giving content to a coherent unified structure</w:t>
      </w:r>
      <w:r w:rsidR="00C40C10">
        <w:rPr>
          <w:rFonts w:ascii="Times New Roman" w:hAnsi="Times New Roman" w:cs="Times New Roman"/>
          <w:sz w:val="24"/>
          <w:szCs w:val="24"/>
        </w:rPr>
        <w:t xml:space="preserve"> to the subject</w:t>
      </w:r>
      <w:r>
        <w:rPr>
          <w:rFonts w:ascii="Times New Roman" w:hAnsi="Times New Roman" w:cs="Times New Roman"/>
          <w:sz w:val="24"/>
          <w:szCs w:val="24"/>
        </w:rPr>
        <w:t>. What this article makes clear</w:t>
      </w:r>
      <w:r w:rsidR="00C40C10">
        <w:rPr>
          <w:rFonts w:ascii="Times New Roman" w:hAnsi="Times New Roman" w:cs="Times New Roman"/>
          <w:sz w:val="24"/>
          <w:szCs w:val="24"/>
        </w:rPr>
        <w:t xml:space="preserve"> </w:t>
      </w:r>
      <w:r>
        <w:rPr>
          <w:rFonts w:ascii="Times New Roman" w:hAnsi="Times New Roman" w:cs="Times New Roman"/>
          <w:sz w:val="24"/>
          <w:szCs w:val="24"/>
        </w:rPr>
        <w:t xml:space="preserve">is that the various established causes of action are </w:t>
      </w:r>
      <w:r w:rsidR="00C40C10">
        <w:rPr>
          <w:rFonts w:ascii="Times New Roman" w:hAnsi="Times New Roman" w:cs="Times New Roman"/>
          <w:sz w:val="24"/>
          <w:szCs w:val="24"/>
        </w:rPr>
        <w:t xml:space="preserve">significantly </w:t>
      </w:r>
      <w:r>
        <w:rPr>
          <w:rFonts w:ascii="Times New Roman" w:hAnsi="Times New Roman" w:cs="Times New Roman"/>
          <w:sz w:val="24"/>
          <w:szCs w:val="24"/>
        </w:rPr>
        <w:t xml:space="preserve">different from each other in important respects. </w:t>
      </w:r>
      <w:r w:rsidR="00C40C10">
        <w:rPr>
          <w:rFonts w:ascii="Times New Roman" w:hAnsi="Times New Roman" w:cs="Times New Roman"/>
          <w:sz w:val="24"/>
          <w:szCs w:val="24"/>
        </w:rPr>
        <w:t xml:space="preserve">They are more than just </w:t>
      </w:r>
      <w:r w:rsidR="00A001C5">
        <w:rPr>
          <w:rFonts w:ascii="Times New Roman" w:hAnsi="Times New Roman" w:cs="Times New Roman"/>
          <w:sz w:val="24"/>
          <w:szCs w:val="24"/>
        </w:rPr>
        <w:t xml:space="preserve">discernible </w:t>
      </w:r>
      <w:r w:rsidR="00C40C10">
        <w:rPr>
          <w:rFonts w:ascii="Times New Roman" w:hAnsi="Times New Roman" w:cs="Times New Roman"/>
          <w:sz w:val="24"/>
          <w:szCs w:val="24"/>
        </w:rPr>
        <w:t xml:space="preserve">mounds in the topography of the subject. </w:t>
      </w:r>
      <w:r>
        <w:rPr>
          <w:rFonts w:ascii="Times New Roman" w:hAnsi="Times New Roman" w:cs="Times New Roman"/>
          <w:sz w:val="24"/>
          <w:szCs w:val="24"/>
        </w:rPr>
        <w:t>The application of any general principle</w:t>
      </w:r>
      <w:r w:rsidRPr="00042AA8">
        <w:rPr>
          <w:rFonts w:ascii="Times New Roman" w:hAnsi="Times New Roman" w:cs="Times New Roman"/>
          <w:sz w:val="24"/>
          <w:szCs w:val="24"/>
        </w:rPr>
        <w:t xml:space="preserve"> </w:t>
      </w:r>
      <w:r>
        <w:rPr>
          <w:rFonts w:ascii="Times New Roman" w:hAnsi="Times New Roman" w:cs="Times New Roman"/>
          <w:sz w:val="24"/>
          <w:szCs w:val="24"/>
        </w:rPr>
        <w:t>or action will therefore necessitate a careful consideration of the interrelationship between these causes of action and how the relate to such general principles or action.</w:t>
      </w:r>
    </w:p>
    <w:p w14:paraId="7C740802" w14:textId="77777777" w:rsidR="00571E92" w:rsidRPr="0067222A" w:rsidRDefault="00571E92" w:rsidP="00060812">
      <w:pPr>
        <w:spacing w:after="0" w:line="360" w:lineRule="auto"/>
        <w:jc w:val="both"/>
        <w:rPr>
          <w:rFonts w:ascii="Times New Roman" w:hAnsi="Times New Roman" w:cs="Times New Roman"/>
          <w:iCs/>
          <w:sz w:val="24"/>
          <w:szCs w:val="24"/>
        </w:rPr>
      </w:pPr>
    </w:p>
    <w:sectPr w:rsidR="00571E92" w:rsidRPr="006722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7C8C" w14:textId="77777777" w:rsidR="00CB2822" w:rsidRDefault="00CB2822" w:rsidP="008E44AE">
      <w:pPr>
        <w:spacing w:after="0" w:line="240" w:lineRule="auto"/>
      </w:pPr>
      <w:r>
        <w:separator/>
      </w:r>
    </w:p>
  </w:endnote>
  <w:endnote w:type="continuationSeparator" w:id="0">
    <w:p w14:paraId="1943E696" w14:textId="77777777" w:rsidR="00CB2822" w:rsidRDefault="00CB2822" w:rsidP="008E44AE">
      <w:pPr>
        <w:spacing w:after="0" w:line="240" w:lineRule="auto"/>
      </w:pPr>
      <w:r>
        <w:continuationSeparator/>
      </w:r>
    </w:p>
  </w:endnote>
  <w:endnote w:type="continuationNotice" w:id="1">
    <w:p w14:paraId="418861F9" w14:textId="77777777" w:rsidR="00CB2822" w:rsidRDefault="00CB2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674532"/>
      <w:docPartObj>
        <w:docPartGallery w:val="Page Numbers (Bottom of Page)"/>
        <w:docPartUnique/>
      </w:docPartObj>
    </w:sdtPr>
    <w:sdtEndPr>
      <w:rPr>
        <w:noProof/>
      </w:rPr>
    </w:sdtEndPr>
    <w:sdtContent>
      <w:p w14:paraId="562F9D82" w14:textId="77777777" w:rsidR="00762FE5" w:rsidRDefault="00762FE5">
        <w:pPr>
          <w:pStyle w:val="Footer"/>
          <w:jc w:val="center"/>
        </w:pPr>
        <w:r>
          <w:fldChar w:fldCharType="begin"/>
        </w:r>
        <w:r>
          <w:instrText xml:space="preserve"> PAGE   \* MERGEFORMAT </w:instrText>
        </w:r>
        <w:r>
          <w:fldChar w:fldCharType="separate"/>
        </w:r>
        <w:r w:rsidR="00006DA1">
          <w:rPr>
            <w:noProof/>
          </w:rPr>
          <w:t>21</w:t>
        </w:r>
        <w:r>
          <w:rPr>
            <w:noProof/>
          </w:rPr>
          <w:fldChar w:fldCharType="end"/>
        </w:r>
      </w:p>
    </w:sdtContent>
  </w:sdt>
  <w:p w14:paraId="7BBA6C09" w14:textId="77777777" w:rsidR="00762FE5" w:rsidRDefault="00762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E07C5" w14:textId="77777777" w:rsidR="00CB2822" w:rsidRDefault="00CB2822" w:rsidP="008E44AE">
      <w:pPr>
        <w:spacing w:after="0" w:line="240" w:lineRule="auto"/>
      </w:pPr>
      <w:r>
        <w:separator/>
      </w:r>
    </w:p>
  </w:footnote>
  <w:footnote w:type="continuationSeparator" w:id="0">
    <w:p w14:paraId="54E7EE2A" w14:textId="77777777" w:rsidR="00CB2822" w:rsidRDefault="00CB2822" w:rsidP="008E44AE">
      <w:pPr>
        <w:spacing w:after="0" w:line="240" w:lineRule="auto"/>
      </w:pPr>
      <w:r>
        <w:continuationSeparator/>
      </w:r>
    </w:p>
  </w:footnote>
  <w:footnote w:type="continuationNotice" w:id="1">
    <w:p w14:paraId="412D2A6A" w14:textId="77777777" w:rsidR="00CB2822" w:rsidRDefault="00CB2822">
      <w:pPr>
        <w:spacing w:after="0" w:line="240" w:lineRule="auto"/>
      </w:pPr>
    </w:p>
  </w:footnote>
  <w:footnote w:id="2">
    <w:p w14:paraId="1665748F" w14:textId="27044C80"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N. Whitty, The Scottish Enrichment Revolution” (2001) 6 </w:t>
      </w:r>
      <w:r w:rsidRPr="0096314F">
        <w:rPr>
          <w:rFonts w:ascii="Times New Roman" w:hAnsi="Times New Roman" w:cs="Times New Roman"/>
          <w:i/>
          <w:sz w:val="22"/>
          <w:szCs w:val="22"/>
        </w:rPr>
        <w:t>SLPQ</w:t>
      </w:r>
      <w:r w:rsidRPr="0096314F">
        <w:rPr>
          <w:rFonts w:ascii="Times New Roman" w:hAnsi="Times New Roman" w:cs="Times New Roman"/>
          <w:sz w:val="22"/>
          <w:szCs w:val="22"/>
        </w:rPr>
        <w:t xml:space="preserve"> 167.</w:t>
      </w:r>
    </w:p>
  </w:footnote>
  <w:footnote w:id="3">
    <w:p w14:paraId="1B8A41BC" w14:textId="7777777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1995 SC 151.</w:t>
      </w:r>
    </w:p>
  </w:footnote>
  <w:footnote w:id="4">
    <w:p w14:paraId="22089C9F" w14:textId="7777777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1998 SC 725.</w:t>
      </w:r>
    </w:p>
  </w:footnote>
  <w:footnote w:id="5">
    <w:p w14:paraId="3F6D32A3" w14:textId="7777777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1996 SC 331; 1998 SC (HL) 90.</w:t>
      </w:r>
    </w:p>
  </w:footnote>
  <w:footnote w:id="6">
    <w:p w14:paraId="4FBDCD53" w14:textId="77777777" w:rsidR="00762FE5" w:rsidRPr="0096314F" w:rsidRDefault="00762FE5" w:rsidP="00CE3CD0">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P. Birks “</w:t>
      </w:r>
      <w:r w:rsidRPr="0096314F">
        <w:rPr>
          <w:rFonts w:ascii="Times New Roman" w:eastAsia="Calibri" w:hAnsi="Times New Roman" w:cs="Times New Roman"/>
          <w:bCs/>
          <w:sz w:val="22"/>
          <w:szCs w:val="22"/>
        </w:rPr>
        <w:t xml:space="preserve">Six Questions in Search of a Subject - Unjust Enrichment in a Crisis of Identity" 1985 </w:t>
      </w:r>
      <w:r w:rsidRPr="0096314F">
        <w:rPr>
          <w:rFonts w:ascii="Times New Roman" w:eastAsia="Calibri" w:hAnsi="Times New Roman" w:cs="Times New Roman"/>
          <w:bCs/>
          <w:i/>
          <w:sz w:val="22"/>
          <w:szCs w:val="22"/>
        </w:rPr>
        <w:t>Juridical Review</w:t>
      </w:r>
      <w:r w:rsidRPr="0096314F">
        <w:rPr>
          <w:rFonts w:ascii="Times New Roman" w:eastAsia="Calibri" w:hAnsi="Times New Roman" w:cs="Times New Roman"/>
          <w:bCs/>
          <w:sz w:val="22"/>
          <w:szCs w:val="22"/>
        </w:rPr>
        <w:t xml:space="preserve"> 227; P. Birks "Restitution: A View of Scots Law" (1985) 38 </w:t>
      </w:r>
      <w:r w:rsidRPr="0096314F">
        <w:rPr>
          <w:rFonts w:ascii="Times New Roman" w:eastAsia="Calibri" w:hAnsi="Times New Roman" w:cs="Times New Roman"/>
          <w:bCs/>
          <w:i/>
          <w:sz w:val="22"/>
          <w:szCs w:val="22"/>
        </w:rPr>
        <w:t>Current Legal Problems</w:t>
      </w:r>
      <w:r w:rsidRPr="0096314F">
        <w:rPr>
          <w:rFonts w:ascii="Times New Roman" w:eastAsia="Calibri" w:hAnsi="Times New Roman" w:cs="Times New Roman"/>
          <w:bCs/>
          <w:sz w:val="22"/>
          <w:szCs w:val="22"/>
        </w:rPr>
        <w:t xml:space="preserve"> 57.</w:t>
      </w:r>
    </w:p>
  </w:footnote>
  <w:footnote w:id="7">
    <w:p w14:paraId="5B3C7DDE" w14:textId="3A7628D4"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sz w:val="22"/>
          <w:szCs w:val="22"/>
        </w:rPr>
        <w:t xml:space="preserve">Shilliday </w:t>
      </w:r>
      <w:r w:rsidRPr="0096314F">
        <w:rPr>
          <w:rFonts w:ascii="Times New Roman" w:hAnsi="Times New Roman" w:cs="Times New Roman"/>
          <w:sz w:val="22"/>
          <w:szCs w:val="22"/>
        </w:rPr>
        <w:t xml:space="preserve">(note  </w:t>
      </w:r>
      <w:r w:rsidRPr="0096314F">
        <w:rPr>
          <w:rFonts w:ascii="Times New Roman" w:hAnsi="Times New Roman" w:cs="Times New Roman"/>
          <w:sz w:val="22"/>
          <w:szCs w:val="22"/>
        </w:rPr>
        <w:fldChar w:fldCharType="begin"/>
      </w:r>
      <w:r w:rsidRPr="0096314F">
        <w:rPr>
          <w:rFonts w:ascii="Times New Roman" w:hAnsi="Times New Roman" w:cs="Times New Roman"/>
          <w:sz w:val="22"/>
          <w:szCs w:val="22"/>
        </w:rPr>
        <w:instrText xml:space="preserve"> NOTEREF _Ref525824742 \h </w:instrText>
      </w:r>
      <w:r w:rsidR="0096314F" w:rsidRPr="0096314F">
        <w:rPr>
          <w:rFonts w:ascii="Times New Roman" w:hAnsi="Times New Roman" w:cs="Times New Roman"/>
          <w:sz w:val="22"/>
          <w:szCs w:val="22"/>
        </w:rPr>
        <w:instrText xml:space="preserve"> \* MERGEFORMAT </w:instrText>
      </w:r>
      <w:r w:rsidRPr="0096314F">
        <w:rPr>
          <w:rFonts w:ascii="Times New Roman" w:hAnsi="Times New Roman" w:cs="Times New Roman"/>
          <w:sz w:val="22"/>
          <w:szCs w:val="22"/>
        </w:rPr>
      </w:r>
      <w:r w:rsidRPr="0096314F">
        <w:rPr>
          <w:rFonts w:ascii="Times New Roman" w:hAnsi="Times New Roman" w:cs="Times New Roman"/>
          <w:sz w:val="22"/>
          <w:szCs w:val="22"/>
        </w:rPr>
        <w:fldChar w:fldCharType="separate"/>
      </w:r>
      <w:r w:rsidRPr="0096314F">
        <w:rPr>
          <w:rFonts w:ascii="Times New Roman" w:hAnsi="Times New Roman" w:cs="Times New Roman"/>
          <w:sz w:val="22"/>
          <w:szCs w:val="22"/>
        </w:rPr>
        <w:t>3</w:t>
      </w:r>
      <w:r w:rsidRPr="0096314F">
        <w:rPr>
          <w:rFonts w:ascii="Times New Roman" w:hAnsi="Times New Roman" w:cs="Times New Roman"/>
          <w:sz w:val="22"/>
          <w:szCs w:val="22"/>
        </w:rPr>
        <w:fldChar w:fldCharType="end"/>
      </w:r>
      <w:r w:rsidRPr="0096314F">
        <w:rPr>
          <w:rFonts w:ascii="Times New Roman" w:hAnsi="Times New Roman" w:cs="Times New Roman"/>
          <w:sz w:val="22"/>
          <w:szCs w:val="22"/>
        </w:rPr>
        <w:t>) at p. 727A-B.</w:t>
      </w:r>
    </w:p>
  </w:footnote>
  <w:footnote w:id="8">
    <w:p w14:paraId="3AB581A5" w14:textId="7777777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The direction of development has not been that argued for by Birks.</w:t>
      </w:r>
    </w:p>
  </w:footnote>
  <w:footnote w:id="9">
    <w:p w14:paraId="375D46D1" w14:textId="50EADE00"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Whitty (note </w:t>
      </w:r>
      <w:r w:rsidRPr="0096314F">
        <w:rPr>
          <w:rFonts w:ascii="Times New Roman" w:hAnsi="Times New Roman" w:cs="Times New Roman"/>
          <w:sz w:val="22"/>
          <w:szCs w:val="22"/>
        </w:rPr>
        <w:fldChar w:fldCharType="begin"/>
      </w:r>
      <w:r w:rsidRPr="0096314F">
        <w:rPr>
          <w:rFonts w:ascii="Times New Roman" w:hAnsi="Times New Roman" w:cs="Times New Roman"/>
          <w:sz w:val="22"/>
          <w:szCs w:val="22"/>
        </w:rPr>
        <w:instrText xml:space="preserve"> NOTEREF _Ref525824581 \h  \* MERGEFORMAT </w:instrText>
      </w:r>
      <w:r w:rsidRPr="0096314F">
        <w:rPr>
          <w:rFonts w:ascii="Times New Roman" w:hAnsi="Times New Roman" w:cs="Times New Roman"/>
          <w:sz w:val="22"/>
          <w:szCs w:val="22"/>
        </w:rPr>
      </w:r>
      <w:r w:rsidRPr="0096314F">
        <w:rPr>
          <w:rFonts w:ascii="Times New Roman" w:hAnsi="Times New Roman" w:cs="Times New Roman"/>
          <w:sz w:val="22"/>
          <w:szCs w:val="22"/>
        </w:rPr>
        <w:fldChar w:fldCharType="separate"/>
      </w:r>
      <w:r w:rsidRPr="0096314F">
        <w:rPr>
          <w:rFonts w:ascii="Times New Roman" w:hAnsi="Times New Roman" w:cs="Times New Roman"/>
          <w:sz w:val="22"/>
          <w:szCs w:val="22"/>
        </w:rPr>
        <w:t>1</w:t>
      </w:r>
      <w:r w:rsidRPr="0096314F">
        <w:rPr>
          <w:rFonts w:ascii="Times New Roman" w:hAnsi="Times New Roman" w:cs="Times New Roman"/>
          <w:sz w:val="22"/>
          <w:szCs w:val="22"/>
        </w:rPr>
        <w:fldChar w:fldCharType="end"/>
      </w:r>
      <w:r w:rsidRPr="0096314F">
        <w:rPr>
          <w:rFonts w:ascii="Times New Roman" w:hAnsi="Times New Roman" w:cs="Times New Roman"/>
          <w:sz w:val="22"/>
          <w:szCs w:val="22"/>
        </w:rPr>
        <w:t>).</w:t>
      </w:r>
    </w:p>
  </w:footnote>
  <w:footnote w:id="10">
    <w:p w14:paraId="603B622B" w14:textId="4104E045"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2001 (3) SA 482 SCA.</w:t>
      </w:r>
    </w:p>
  </w:footnote>
  <w:footnote w:id="11">
    <w:p w14:paraId="6131F38C" w14:textId="77777777" w:rsidR="00762FE5" w:rsidRPr="0096314F" w:rsidRDefault="00762FE5" w:rsidP="00B9134F">
      <w:pPr>
        <w:spacing w:after="0"/>
        <w:rPr>
          <w:rFonts w:ascii="Times New Roman" w:hAnsi="Times New Roman" w:cs="Times New Roman"/>
        </w:rPr>
      </w:pPr>
      <w:r w:rsidRPr="0096314F">
        <w:rPr>
          <w:rFonts w:ascii="Times New Roman" w:hAnsi="Times New Roman" w:cs="Times New Roman"/>
          <w:vertAlign w:val="superscript"/>
        </w:rPr>
        <w:footnoteRef/>
      </w:r>
      <w:r w:rsidRPr="0096314F">
        <w:rPr>
          <w:rFonts w:ascii="Times New Roman" w:hAnsi="Times New Roman" w:cs="Times New Roman"/>
          <w:vertAlign w:val="superscript"/>
        </w:rPr>
        <w:t xml:space="preserve"> </w:t>
      </w:r>
      <w:r w:rsidRPr="0096314F">
        <w:rPr>
          <w:rFonts w:ascii="Times New Roman" w:hAnsi="Times New Roman" w:cs="Times New Roman"/>
        </w:rPr>
        <w:t xml:space="preserve">Stair, </w:t>
      </w:r>
      <w:r w:rsidRPr="0096314F">
        <w:rPr>
          <w:rFonts w:ascii="Times New Roman" w:hAnsi="Times New Roman" w:cs="Times New Roman"/>
          <w:i/>
        </w:rPr>
        <w:t>Institutions of the Law of Scotland</w:t>
      </w:r>
      <w:r w:rsidRPr="0096314F">
        <w:rPr>
          <w:rFonts w:ascii="Times New Roman" w:hAnsi="Times New Roman" w:cs="Times New Roman"/>
        </w:rPr>
        <w:t xml:space="preserve"> (1681), I.3.7–9.</w:t>
      </w:r>
    </w:p>
  </w:footnote>
  <w:footnote w:id="12">
    <w:p w14:paraId="75E23BDF" w14:textId="77777777" w:rsidR="00762FE5" w:rsidRPr="0096314F" w:rsidRDefault="00762FE5" w:rsidP="007C708D">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See most recently, D. Carr, </w:t>
      </w:r>
      <w:r w:rsidRPr="0096314F">
        <w:rPr>
          <w:rFonts w:ascii="Times New Roman" w:hAnsi="Times New Roman" w:cs="Times New Roman"/>
          <w:i/>
          <w:sz w:val="22"/>
          <w:szCs w:val="22"/>
        </w:rPr>
        <w:t>Ideas of Equity</w:t>
      </w:r>
      <w:r w:rsidRPr="0096314F">
        <w:rPr>
          <w:rFonts w:ascii="Times New Roman" w:hAnsi="Times New Roman" w:cs="Times New Roman"/>
          <w:sz w:val="22"/>
          <w:szCs w:val="22"/>
        </w:rPr>
        <w:t xml:space="preserve"> (Edinburgh Studies in Scots Law, 2017) chapt.3.</w:t>
      </w:r>
    </w:p>
  </w:footnote>
  <w:footnote w:id="13">
    <w:p w14:paraId="716900FA" w14:textId="62091339"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sz w:val="22"/>
          <w:szCs w:val="22"/>
        </w:rPr>
        <w:t xml:space="preserve">Morgan Guaranty Trust </w:t>
      </w:r>
      <w:r w:rsidRPr="0096314F">
        <w:rPr>
          <w:rFonts w:ascii="Times New Roman" w:hAnsi="Times New Roman" w:cs="Times New Roman"/>
          <w:sz w:val="22"/>
          <w:szCs w:val="22"/>
        </w:rPr>
        <w:t xml:space="preserve">(note </w:t>
      </w:r>
      <w:r w:rsidRPr="0096314F">
        <w:rPr>
          <w:rFonts w:ascii="Times New Roman" w:hAnsi="Times New Roman" w:cs="Times New Roman"/>
          <w:sz w:val="22"/>
          <w:szCs w:val="22"/>
        </w:rPr>
        <w:fldChar w:fldCharType="begin"/>
      </w:r>
      <w:r w:rsidRPr="0096314F">
        <w:rPr>
          <w:rFonts w:ascii="Times New Roman" w:hAnsi="Times New Roman" w:cs="Times New Roman"/>
          <w:sz w:val="22"/>
          <w:szCs w:val="22"/>
        </w:rPr>
        <w:instrText xml:space="preserve"> NOTEREF _Ref525824574 \h </w:instrText>
      </w:r>
      <w:r w:rsidR="0096314F" w:rsidRPr="0096314F">
        <w:rPr>
          <w:rFonts w:ascii="Times New Roman" w:hAnsi="Times New Roman" w:cs="Times New Roman"/>
          <w:sz w:val="22"/>
          <w:szCs w:val="22"/>
        </w:rPr>
        <w:instrText xml:space="preserve"> \* MERGEFORMAT </w:instrText>
      </w:r>
      <w:r w:rsidRPr="0096314F">
        <w:rPr>
          <w:rFonts w:ascii="Times New Roman" w:hAnsi="Times New Roman" w:cs="Times New Roman"/>
          <w:sz w:val="22"/>
          <w:szCs w:val="22"/>
        </w:rPr>
      </w:r>
      <w:r w:rsidRPr="0096314F">
        <w:rPr>
          <w:rFonts w:ascii="Times New Roman" w:hAnsi="Times New Roman" w:cs="Times New Roman"/>
          <w:sz w:val="22"/>
          <w:szCs w:val="22"/>
        </w:rPr>
        <w:fldChar w:fldCharType="separate"/>
      </w:r>
      <w:r w:rsidRPr="0096314F">
        <w:rPr>
          <w:rFonts w:ascii="Times New Roman" w:hAnsi="Times New Roman" w:cs="Times New Roman"/>
          <w:sz w:val="22"/>
          <w:szCs w:val="22"/>
        </w:rPr>
        <w:t>2</w:t>
      </w:r>
      <w:r w:rsidRPr="0096314F">
        <w:rPr>
          <w:rFonts w:ascii="Times New Roman" w:hAnsi="Times New Roman" w:cs="Times New Roman"/>
          <w:sz w:val="22"/>
          <w:szCs w:val="22"/>
        </w:rPr>
        <w:fldChar w:fldCharType="end"/>
      </w:r>
      <w:r w:rsidRPr="0096314F">
        <w:rPr>
          <w:rFonts w:ascii="Times New Roman" w:hAnsi="Times New Roman" w:cs="Times New Roman"/>
          <w:sz w:val="22"/>
          <w:szCs w:val="22"/>
        </w:rPr>
        <w:t>).</w:t>
      </w:r>
    </w:p>
  </w:footnote>
  <w:footnote w:id="14">
    <w:p w14:paraId="5459193A" w14:textId="1133531E" w:rsidR="00762FE5" w:rsidRPr="0096314F" w:rsidRDefault="00762FE5" w:rsidP="00DF0805">
      <w:pPr>
        <w:spacing w:after="0"/>
        <w:rPr>
          <w:rFonts w:ascii="Times New Roman" w:hAnsi="Times New Roman" w:cs="Times New Roman"/>
          <w:color w:val="000000"/>
        </w:rPr>
      </w:pPr>
      <w:r w:rsidRPr="0096314F">
        <w:rPr>
          <w:rStyle w:val="FootnoteReference"/>
          <w:rFonts w:ascii="Times New Roman" w:hAnsi="Times New Roman" w:cs="Times New Roman"/>
        </w:rPr>
        <w:footnoteRef/>
      </w:r>
      <w:r w:rsidRPr="0096314F">
        <w:rPr>
          <w:rFonts w:ascii="Times New Roman" w:hAnsi="Times New Roman" w:cs="Times New Roman"/>
          <w:i/>
        </w:rPr>
        <w:t xml:space="preserve">Dollar Land </w:t>
      </w:r>
      <w:r w:rsidRPr="0096314F">
        <w:rPr>
          <w:rFonts w:ascii="Times New Roman" w:hAnsi="Times New Roman" w:cs="Times New Roman"/>
        </w:rPr>
        <w:t xml:space="preserve">(note </w:t>
      </w:r>
      <w:r w:rsidRPr="0096314F">
        <w:rPr>
          <w:rFonts w:ascii="Times New Roman" w:hAnsi="Times New Roman" w:cs="Times New Roman"/>
        </w:rPr>
        <w:fldChar w:fldCharType="begin"/>
      </w:r>
      <w:r w:rsidRPr="0096314F">
        <w:rPr>
          <w:rFonts w:ascii="Times New Roman" w:hAnsi="Times New Roman" w:cs="Times New Roman"/>
        </w:rPr>
        <w:instrText xml:space="preserve"> NOTEREF _Ref525824697 \h </w:instrText>
      </w:r>
      <w:r w:rsidR="0096314F" w:rsidRPr="0096314F">
        <w:rPr>
          <w:rFonts w:ascii="Times New Roman" w:hAnsi="Times New Roman" w:cs="Times New Roman"/>
        </w:rPr>
        <w:instrText xml:space="preserve"> \* MERGEFORMAT </w:instrText>
      </w:r>
      <w:r w:rsidRPr="0096314F">
        <w:rPr>
          <w:rFonts w:ascii="Times New Roman" w:hAnsi="Times New Roman" w:cs="Times New Roman"/>
        </w:rPr>
      </w:r>
      <w:r w:rsidRPr="0096314F">
        <w:rPr>
          <w:rFonts w:ascii="Times New Roman" w:hAnsi="Times New Roman" w:cs="Times New Roman"/>
        </w:rPr>
        <w:fldChar w:fldCharType="separate"/>
      </w:r>
      <w:r w:rsidRPr="0096314F">
        <w:rPr>
          <w:rFonts w:ascii="Times New Roman" w:hAnsi="Times New Roman" w:cs="Times New Roman"/>
        </w:rPr>
        <w:t>4</w:t>
      </w:r>
      <w:r w:rsidRPr="0096314F">
        <w:rPr>
          <w:rFonts w:ascii="Times New Roman" w:hAnsi="Times New Roman" w:cs="Times New Roman"/>
        </w:rPr>
        <w:fldChar w:fldCharType="end"/>
      </w:r>
      <w:r w:rsidRPr="0096314F">
        <w:rPr>
          <w:rFonts w:ascii="Times New Roman" w:hAnsi="Times New Roman" w:cs="Times New Roman"/>
        </w:rPr>
        <w:t xml:space="preserve">) </w:t>
      </w:r>
      <w:r w:rsidRPr="0096314F">
        <w:rPr>
          <w:rFonts w:ascii="Times New Roman" w:hAnsi="Times New Roman" w:cs="Times New Roman"/>
          <w:color w:val="000000"/>
        </w:rPr>
        <w:t>at 99D-F.</w:t>
      </w:r>
    </w:p>
  </w:footnote>
  <w:footnote w:id="15">
    <w:p w14:paraId="792997F7" w14:textId="79085E77" w:rsidR="00762FE5" w:rsidRPr="0096314F" w:rsidRDefault="00762FE5" w:rsidP="000139CF">
      <w:pPr>
        <w:spacing w:after="0" w:line="240" w:lineRule="auto"/>
        <w:rPr>
          <w:rFonts w:ascii="Times New Roman" w:hAnsi="Times New Roman" w:cs="Times New Roman"/>
        </w:rPr>
      </w:pPr>
      <w:r w:rsidRPr="0096314F">
        <w:rPr>
          <w:rFonts w:ascii="Times New Roman" w:hAnsi="Times New Roman" w:cs="Times New Roman"/>
          <w:vertAlign w:val="superscript"/>
        </w:rPr>
        <w:footnoteRef/>
      </w:r>
      <w:r w:rsidRPr="0096314F">
        <w:rPr>
          <w:rFonts w:ascii="Times New Roman" w:hAnsi="Times New Roman" w:cs="Times New Roman"/>
          <w:vertAlign w:val="superscript"/>
        </w:rPr>
        <w:t xml:space="preserve"> </w:t>
      </w:r>
      <w:r w:rsidRPr="0096314F">
        <w:rPr>
          <w:rFonts w:ascii="Times New Roman" w:hAnsi="Times New Roman" w:cs="Times New Roman"/>
          <w:i/>
        </w:rPr>
        <w:t>Shilliday</w:t>
      </w:r>
      <w:r w:rsidRPr="0096314F">
        <w:rPr>
          <w:rFonts w:ascii="Times New Roman" w:hAnsi="Times New Roman" w:cs="Times New Roman"/>
        </w:rPr>
        <w:t xml:space="preserve"> (note  </w:t>
      </w:r>
      <w:r w:rsidRPr="0096314F">
        <w:rPr>
          <w:rFonts w:ascii="Times New Roman" w:hAnsi="Times New Roman" w:cs="Times New Roman"/>
        </w:rPr>
        <w:fldChar w:fldCharType="begin"/>
      </w:r>
      <w:r w:rsidRPr="0096314F">
        <w:rPr>
          <w:rFonts w:ascii="Times New Roman" w:hAnsi="Times New Roman" w:cs="Times New Roman"/>
        </w:rPr>
        <w:instrText xml:space="preserve"> NOTEREF _Ref525824742 \h </w:instrText>
      </w:r>
      <w:r w:rsidR="0096314F" w:rsidRPr="0096314F">
        <w:rPr>
          <w:rFonts w:ascii="Times New Roman" w:hAnsi="Times New Roman" w:cs="Times New Roman"/>
        </w:rPr>
        <w:instrText xml:space="preserve"> \* MERGEFORMAT </w:instrText>
      </w:r>
      <w:r w:rsidRPr="0096314F">
        <w:rPr>
          <w:rFonts w:ascii="Times New Roman" w:hAnsi="Times New Roman" w:cs="Times New Roman"/>
        </w:rPr>
      </w:r>
      <w:r w:rsidRPr="0096314F">
        <w:rPr>
          <w:rFonts w:ascii="Times New Roman" w:hAnsi="Times New Roman" w:cs="Times New Roman"/>
        </w:rPr>
        <w:fldChar w:fldCharType="separate"/>
      </w:r>
      <w:r w:rsidRPr="0096314F">
        <w:rPr>
          <w:rFonts w:ascii="Times New Roman" w:hAnsi="Times New Roman" w:cs="Times New Roman"/>
        </w:rPr>
        <w:t>3</w:t>
      </w:r>
      <w:r w:rsidRPr="0096314F">
        <w:rPr>
          <w:rFonts w:ascii="Times New Roman" w:hAnsi="Times New Roman" w:cs="Times New Roman"/>
        </w:rPr>
        <w:fldChar w:fldCharType="end"/>
      </w:r>
      <w:r w:rsidRPr="0096314F">
        <w:rPr>
          <w:rFonts w:ascii="Times New Roman" w:hAnsi="Times New Roman" w:cs="Times New Roman"/>
        </w:rPr>
        <w:t>) at 728C–D.</w:t>
      </w:r>
    </w:p>
  </w:footnote>
  <w:footnote w:id="16">
    <w:p w14:paraId="4BB7CD06" w14:textId="511D00C1" w:rsidR="00762FE5" w:rsidRPr="0096314F" w:rsidRDefault="00762FE5" w:rsidP="000C4B26">
      <w:pPr>
        <w:spacing w:after="0"/>
        <w:rPr>
          <w:rFonts w:ascii="Times New Roman" w:hAnsi="Times New Roman" w:cs="Times New Roman"/>
        </w:rPr>
      </w:pPr>
      <w:r w:rsidRPr="0096314F">
        <w:rPr>
          <w:rFonts w:ascii="Times New Roman" w:hAnsi="Times New Roman" w:cs="Times New Roman"/>
          <w:vertAlign w:val="superscript"/>
        </w:rPr>
        <w:footnoteRef/>
      </w:r>
      <w:r w:rsidRPr="0096314F">
        <w:rPr>
          <w:rFonts w:ascii="Times New Roman" w:hAnsi="Times New Roman" w:cs="Times New Roman"/>
        </w:rPr>
        <w:t xml:space="preserve"> </w:t>
      </w:r>
      <w:r w:rsidRPr="0096314F">
        <w:rPr>
          <w:rFonts w:ascii="Times New Roman" w:hAnsi="Times New Roman" w:cs="Times New Roman"/>
          <w:i/>
        </w:rPr>
        <w:t xml:space="preserve">Dollar Land </w:t>
      </w:r>
      <w:r w:rsidRPr="0096314F">
        <w:rPr>
          <w:rFonts w:ascii="Times New Roman" w:hAnsi="Times New Roman" w:cs="Times New Roman"/>
        </w:rPr>
        <w:t xml:space="preserve">(note </w:t>
      </w:r>
      <w:r w:rsidRPr="0096314F">
        <w:rPr>
          <w:rFonts w:ascii="Times New Roman" w:hAnsi="Times New Roman" w:cs="Times New Roman"/>
        </w:rPr>
        <w:fldChar w:fldCharType="begin"/>
      </w:r>
      <w:r w:rsidRPr="0096314F">
        <w:rPr>
          <w:rFonts w:ascii="Times New Roman" w:hAnsi="Times New Roman" w:cs="Times New Roman"/>
        </w:rPr>
        <w:instrText xml:space="preserve"> NOTEREF _Ref525824697 \h </w:instrText>
      </w:r>
      <w:r w:rsidR="0096314F" w:rsidRPr="0096314F">
        <w:rPr>
          <w:rFonts w:ascii="Times New Roman" w:hAnsi="Times New Roman" w:cs="Times New Roman"/>
        </w:rPr>
        <w:instrText xml:space="preserve"> \* MERGEFORMAT </w:instrText>
      </w:r>
      <w:r w:rsidRPr="0096314F">
        <w:rPr>
          <w:rFonts w:ascii="Times New Roman" w:hAnsi="Times New Roman" w:cs="Times New Roman"/>
        </w:rPr>
      </w:r>
      <w:r w:rsidRPr="0096314F">
        <w:rPr>
          <w:rFonts w:ascii="Times New Roman" w:hAnsi="Times New Roman" w:cs="Times New Roman"/>
        </w:rPr>
        <w:fldChar w:fldCharType="separate"/>
      </w:r>
      <w:r w:rsidRPr="0096314F">
        <w:rPr>
          <w:rFonts w:ascii="Times New Roman" w:hAnsi="Times New Roman" w:cs="Times New Roman"/>
        </w:rPr>
        <w:t>4</w:t>
      </w:r>
      <w:r w:rsidRPr="0096314F">
        <w:rPr>
          <w:rFonts w:ascii="Times New Roman" w:hAnsi="Times New Roman" w:cs="Times New Roman"/>
        </w:rPr>
        <w:fldChar w:fldCharType="end"/>
      </w:r>
      <w:r w:rsidRPr="0096314F">
        <w:rPr>
          <w:rFonts w:ascii="Times New Roman" w:hAnsi="Times New Roman" w:cs="Times New Roman"/>
        </w:rPr>
        <w:t xml:space="preserve">) </w:t>
      </w:r>
      <w:r w:rsidRPr="0096314F">
        <w:rPr>
          <w:rFonts w:ascii="Times New Roman" w:hAnsi="Times New Roman" w:cs="Times New Roman"/>
          <w:color w:val="000000"/>
        </w:rPr>
        <w:t>at</w:t>
      </w:r>
      <w:r w:rsidRPr="0096314F">
        <w:rPr>
          <w:rFonts w:ascii="Times New Roman" w:hAnsi="Times New Roman" w:cs="Times New Roman"/>
        </w:rPr>
        <w:t xml:space="preserve"> 98H–I, 99E–F. </w:t>
      </w:r>
    </w:p>
  </w:footnote>
  <w:footnote w:id="17">
    <w:p w14:paraId="65414767" w14:textId="308FC4F0" w:rsidR="00762FE5" w:rsidRPr="0096314F" w:rsidRDefault="00762FE5" w:rsidP="000C4B26">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vertAlign w:val="superscript"/>
        </w:rPr>
        <w:t xml:space="preserve"> </w:t>
      </w:r>
      <w:r w:rsidRPr="0096314F">
        <w:rPr>
          <w:rFonts w:ascii="Times New Roman" w:hAnsi="Times New Roman" w:cs="Times New Roman"/>
          <w:sz w:val="22"/>
          <w:szCs w:val="22"/>
        </w:rPr>
        <w:t xml:space="preserve"> D. Visser </w:t>
      </w:r>
      <w:r w:rsidRPr="0096314F">
        <w:rPr>
          <w:rFonts w:ascii="Times New Roman" w:hAnsi="Times New Roman" w:cs="Times New Roman"/>
          <w:i/>
          <w:sz w:val="22"/>
          <w:szCs w:val="22"/>
        </w:rPr>
        <w:t>Unjustified Enrichment</w:t>
      </w:r>
      <w:r w:rsidRPr="0096314F">
        <w:rPr>
          <w:rFonts w:ascii="Times New Roman" w:hAnsi="Times New Roman" w:cs="Times New Roman"/>
          <w:sz w:val="22"/>
          <w:szCs w:val="22"/>
        </w:rPr>
        <w:t xml:space="preserve"> (Juta, 2008) p. </w:t>
      </w:r>
      <w:r w:rsidRPr="0096314F">
        <w:rPr>
          <w:rFonts w:ascii="Times New Roman" w:hAnsi="Times New Roman" w:cs="Times New Roman"/>
          <w:sz w:val="22"/>
          <w:szCs w:val="22"/>
          <w:lang w:val="en-US"/>
        </w:rPr>
        <w:t>46-54</w:t>
      </w:r>
      <w:r w:rsidRPr="0096314F">
        <w:rPr>
          <w:rFonts w:ascii="Times New Roman" w:hAnsi="Times New Roman" w:cs="Times New Roman"/>
          <w:sz w:val="22"/>
          <w:szCs w:val="22"/>
        </w:rPr>
        <w:t xml:space="preserve">; J. Du Plessis </w:t>
      </w:r>
      <w:r w:rsidRPr="0096314F">
        <w:rPr>
          <w:rFonts w:ascii="Times New Roman" w:hAnsi="Times New Roman" w:cs="Times New Roman"/>
          <w:i/>
          <w:sz w:val="22"/>
          <w:szCs w:val="22"/>
        </w:rPr>
        <w:t xml:space="preserve">The South African Law of Unjustified Enrichment </w:t>
      </w:r>
      <w:r w:rsidRPr="0096314F">
        <w:rPr>
          <w:rFonts w:ascii="Times New Roman" w:hAnsi="Times New Roman" w:cs="Times New Roman"/>
          <w:sz w:val="22"/>
          <w:szCs w:val="22"/>
        </w:rPr>
        <w:t>(Juta, 2012) p. 1-10.</w:t>
      </w:r>
    </w:p>
  </w:footnote>
  <w:footnote w:id="18">
    <w:p w14:paraId="145D2DA9" w14:textId="77777777" w:rsidR="00762FE5" w:rsidRPr="0096314F" w:rsidRDefault="00762FE5" w:rsidP="000C4B26">
      <w:pPr>
        <w:spacing w:after="0" w:line="240" w:lineRule="auto"/>
        <w:rPr>
          <w:rFonts w:ascii="Times New Roman" w:hAnsi="Times New Roman" w:cs="Times New Roman"/>
        </w:rPr>
      </w:pPr>
      <w:r w:rsidRPr="0096314F">
        <w:rPr>
          <w:rFonts w:ascii="Times New Roman" w:hAnsi="Times New Roman" w:cs="Times New Roman"/>
          <w:vertAlign w:val="superscript"/>
        </w:rPr>
        <w:footnoteRef/>
      </w:r>
      <w:r w:rsidRPr="0096314F">
        <w:rPr>
          <w:rFonts w:ascii="Times New Roman" w:hAnsi="Times New Roman" w:cs="Times New Roman"/>
        </w:rPr>
        <w:t xml:space="preserve"> 1929 SC 461; 1932 SC (HL) 31; [1932] AC 562.</w:t>
      </w:r>
    </w:p>
  </w:footnote>
  <w:footnote w:id="19">
    <w:p w14:paraId="55AD6DCE" w14:textId="60B2B9F6" w:rsidR="00762FE5" w:rsidRPr="0096314F" w:rsidRDefault="00762FE5" w:rsidP="00070B4E">
      <w:pPr>
        <w:spacing w:after="0" w:line="240" w:lineRule="auto"/>
        <w:rPr>
          <w:rFonts w:ascii="Times New Roman" w:hAnsi="Times New Roman" w:cs="Times New Roman"/>
        </w:rPr>
      </w:pPr>
      <w:r w:rsidRPr="0096314F">
        <w:rPr>
          <w:rFonts w:ascii="Times New Roman" w:hAnsi="Times New Roman" w:cs="Times New Roman"/>
          <w:vertAlign w:val="superscript"/>
        </w:rPr>
        <w:footnoteRef/>
      </w:r>
      <w:r w:rsidRPr="0096314F">
        <w:rPr>
          <w:rFonts w:ascii="Times New Roman" w:hAnsi="Times New Roman" w:cs="Times New Roman"/>
          <w:vertAlign w:val="superscript"/>
        </w:rPr>
        <w:t xml:space="preserve"> </w:t>
      </w:r>
      <w:r w:rsidRPr="0096314F">
        <w:rPr>
          <w:rFonts w:ascii="Times New Roman" w:hAnsi="Times New Roman" w:cs="Times New Roman"/>
        </w:rPr>
        <w:t xml:space="preserve">Visser (note </w:t>
      </w:r>
      <w:r w:rsidRPr="0096314F">
        <w:rPr>
          <w:rFonts w:ascii="Times New Roman" w:hAnsi="Times New Roman" w:cs="Times New Roman"/>
        </w:rPr>
        <w:fldChar w:fldCharType="begin"/>
      </w:r>
      <w:r w:rsidRPr="0096314F">
        <w:rPr>
          <w:rFonts w:ascii="Times New Roman" w:hAnsi="Times New Roman" w:cs="Times New Roman"/>
        </w:rPr>
        <w:instrText xml:space="preserve"> NOTEREF _Ref525825120 \h </w:instrText>
      </w:r>
      <w:r w:rsidR="0096314F" w:rsidRPr="0096314F">
        <w:rPr>
          <w:rFonts w:ascii="Times New Roman" w:hAnsi="Times New Roman" w:cs="Times New Roman"/>
        </w:rPr>
        <w:instrText xml:space="preserve"> \* MERGEFORMAT </w:instrText>
      </w:r>
      <w:r w:rsidRPr="0096314F">
        <w:rPr>
          <w:rFonts w:ascii="Times New Roman" w:hAnsi="Times New Roman" w:cs="Times New Roman"/>
        </w:rPr>
      </w:r>
      <w:r w:rsidRPr="0096314F">
        <w:rPr>
          <w:rFonts w:ascii="Times New Roman" w:hAnsi="Times New Roman" w:cs="Times New Roman"/>
        </w:rPr>
        <w:fldChar w:fldCharType="separate"/>
      </w:r>
      <w:r w:rsidRPr="0096314F">
        <w:rPr>
          <w:rFonts w:ascii="Times New Roman" w:hAnsi="Times New Roman" w:cs="Times New Roman"/>
        </w:rPr>
        <w:t>16</w:t>
      </w:r>
      <w:r w:rsidRPr="0096314F">
        <w:rPr>
          <w:rFonts w:ascii="Times New Roman" w:hAnsi="Times New Roman" w:cs="Times New Roman"/>
        </w:rPr>
        <w:fldChar w:fldCharType="end"/>
      </w:r>
      <w:r w:rsidRPr="0096314F">
        <w:rPr>
          <w:rFonts w:ascii="Times New Roman" w:hAnsi="Times New Roman" w:cs="Times New Roman"/>
        </w:rPr>
        <w:t>) p. 12.</w:t>
      </w:r>
    </w:p>
  </w:footnote>
  <w:footnote w:id="20">
    <w:p w14:paraId="1C4665A1" w14:textId="645D738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Cs/>
          <w:sz w:val="22"/>
          <w:szCs w:val="22"/>
          <w:lang w:val="en-ZA"/>
        </w:rPr>
        <w:t>[2011] CSOH 50, Lady Smith.</w:t>
      </w:r>
    </w:p>
  </w:footnote>
  <w:footnote w:id="21">
    <w:p w14:paraId="53B598BF" w14:textId="78FE59AE" w:rsidR="00762FE5" w:rsidRPr="0096314F" w:rsidRDefault="00762FE5" w:rsidP="00C860BD">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Ibid at para 24.</w:t>
      </w:r>
    </w:p>
  </w:footnote>
  <w:footnote w:id="22">
    <w:p w14:paraId="78B1A742" w14:textId="50C359E0" w:rsidR="00762FE5" w:rsidRPr="0096314F" w:rsidRDefault="00762FE5" w:rsidP="00645320">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Cs/>
          <w:sz w:val="22"/>
          <w:szCs w:val="22"/>
          <w:lang w:val="en-ZA"/>
        </w:rPr>
        <w:t>Prescription and Limitation (Scotland) Act 1973.</w:t>
      </w:r>
    </w:p>
  </w:footnote>
  <w:footnote w:id="23">
    <w:p w14:paraId="526A80F1" w14:textId="7D87B8A6"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iCs/>
          <w:sz w:val="22"/>
          <w:szCs w:val="22"/>
        </w:rPr>
        <w:t>McCarthy Retail</w:t>
      </w:r>
      <w:r w:rsidRPr="0096314F">
        <w:rPr>
          <w:rFonts w:ascii="Times New Roman" w:hAnsi="Times New Roman" w:cs="Times New Roman"/>
          <w:iCs/>
          <w:sz w:val="22"/>
          <w:szCs w:val="22"/>
        </w:rPr>
        <w:t xml:space="preserve">  (note </w:t>
      </w:r>
      <w:r w:rsidRPr="0096314F">
        <w:rPr>
          <w:rFonts w:ascii="Times New Roman" w:hAnsi="Times New Roman" w:cs="Times New Roman"/>
          <w:iCs/>
          <w:sz w:val="22"/>
          <w:szCs w:val="22"/>
        </w:rPr>
        <w:fldChar w:fldCharType="begin"/>
      </w:r>
      <w:r w:rsidRPr="0096314F">
        <w:rPr>
          <w:rFonts w:ascii="Times New Roman" w:hAnsi="Times New Roman" w:cs="Times New Roman"/>
          <w:iCs/>
          <w:sz w:val="22"/>
          <w:szCs w:val="22"/>
        </w:rPr>
        <w:instrText xml:space="preserve"> NOTEREF _Ref525825240 \h  \* MERGEFORMAT </w:instrText>
      </w:r>
      <w:r w:rsidRPr="0096314F">
        <w:rPr>
          <w:rFonts w:ascii="Times New Roman" w:hAnsi="Times New Roman" w:cs="Times New Roman"/>
          <w:iCs/>
          <w:sz w:val="22"/>
          <w:szCs w:val="22"/>
        </w:rPr>
      </w:r>
      <w:r w:rsidRPr="0096314F">
        <w:rPr>
          <w:rFonts w:ascii="Times New Roman" w:hAnsi="Times New Roman" w:cs="Times New Roman"/>
          <w:iCs/>
          <w:sz w:val="22"/>
          <w:szCs w:val="22"/>
        </w:rPr>
        <w:fldChar w:fldCharType="separate"/>
      </w:r>
      <w:r w:rsidRPr="0096314F">
        <w:rPr>
          <w:rFonts w:ascii="Times New Roman" w:hAnsi="Times New Roman" w:cs="Times New Roman"/>
          <w:iCs/>
          <w:sz w:val="22"/>
          <w:szCs w:val="22"/>
        </w:rPr>
        <w:t>9</w:t>
      </w:r>
      <w:r w:rsidRPr="0096314F">
        <w:rPr>
          <w:rFonts w:ascii="Times New Roman" w:hAnsi="Times New Roman" w:cs="Times New Roman"/>
          <w:iCs/>
          <w:sz w:val="22"/>
          <w:szCs w:val="22"/>
        </w:rPr>
        <w:fldChar w:fldCharType="end"/>
      </w:r>
      <w:r w:rsidRPr="0096314F">
        <w:rPr>
          <w:rFonts w:ascii="Times New Roman" w:hAnsi="Times New Roman" w:cs="Times New Roman"/>
          <w:iCs/>
          <w:sz w:val="22"/>
          <w:szCs w:val="22"/>
        </w:rPr>
        <w:t>) at 496</w:t>
      </w:r>
    </w:p>
  </w:footnote>
  <w:footnote w:id="24">
    <w:p w14:paraId="5AE18207" w14:textId="77777777" w:rsidR="00762FE5" w:rsidRPr="0096314F" w:rsidRDefault="00762FE5" w:rsidP="000A6784">
      <w:pPr>
        <w:pStyle w:val="FootnoteText"/>
        <w:rPr>
          <w:rFonts w:ascii="Times New Roman" w:hAnsi="Times New Roman" w:cs="Times New Roman"/>
          <w:sz w:val="22"/>
          <w:szCs w:val="22"/>
          <w:lang w:val="en-ZA"/>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sz w:val="22"/>
          <w:szCs w:val="22"/>
          <w:lang w:val="en-ZA"/>
        </w:rPr>
        <w:t>[2012] CSOH 177, Lord Drummond Young.</w:t>
      </w:r>
    </w:p>
  </w:footnote>
  <w:footnote w:id="25">
    <w:p w14:paraId="184636A3" w14:textId="7777777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[2013] CSIH 115.</w:t>
      </w:r>
    </w:p>
  </w:footnote>
  <w:footnote w:id="26">
    <w:p w14:paraId="58AADADD" w14:textId="5AC3ABB1" w:rsidR="00762FE5" w:rsidRPr="0096314F" w:rsidRDefault="00762FE5" w:rsidP="00900210">
      <w:pPr>
        <w:rPr>
          <w:rFonts w:ascii="Times New Roman" w:hAnsi="Times New Roman" w:cs="Times New Roman"/>
        </w:rPr>
      </w:pPr>
      <w:r w:rsidRPr="0096314F">
        <w:rPr>
          <w:rFonts w:ascii="Times New Roman" w:hAnsi="Times New Roman" w:cs="Times New Roman"/>
          <w:vertAlign w:val="superscript"/>
        </w:rPr>
        <w:footnoteRef/>
      </w:r>
      <w:r w:rsidRPr="0096314F">
        <w:rPr>
          <w:rFonts w:ascii="Times New Roman" w:hAnsi="Times New Roman" w:cs="Times New Roman"/>
          <w:vertAlign w:val="superscript"/>
        </w:rPr>
        <w:t xml:space="preserve"> </w:t>
      </w:r>
      <w:r w:rsidRPr="0096314F">
        <w:rPr>
          <w:rFonts w:ascii="Times New Roman" w:hAnsi="Times New Roman" w:cs="Times New Roman"/>
          <w:i/>
        </w:rPr>
        <w:t>Institutions</w:t>
      </w:r>
      <w:r w:rsidRPr="0096314F">
        <w:rPr>
          <w:rFonts w:ascii="Times New Roman" w:hAnsi="Times New Roman" w:cs="Times New Roman"/>
        </w:rPr>
        <w:t xml:space="preserve"> (note </w:t>
      </w:r>
      <w:r w:rsidRPr="0096314F">
        <w:rPr>
          <w:rFonts w:ascii="Times New Roman" w:hAnsi="Times New Roman" w:cs="Times New Roman"/>
        </w:rPr>
        <w:fldChar w:fldCharType="begin"/>
      </w:r>
      <w:r w:rsidRPr="0096314F">
        <w:rPr>
          <w:rFonts w:ascii="Times New Roman" w:hAnsi="Times New Roman" w:cs="Times New Roman"/>
        </w:rPr>
        <w:instrText xml:space="preserve"> NOTEREF _Ref525825306 \h  \* MERGEFORMAT </w:instrText>
      </w:r>
      <w:r w:rsidRPr="0096314F">
        <w:rPr>
          <w:rFonts w:ascii="Times New Roman" w:hAnsi="Times New Roman" w:cs="Times New Roman"/>
        </w:rPr>
      </w:r>
      <w:r w:rsidRPr="0096314F">
        <w:rPr>
          <w:rFonts w:ascii="Times New Roman" w:hAnsi="Times New Roman" w:cs="Times New Roman"/>
        </w:rPr>
        <w:fldChar w:fldCharType="separate"/>
      </w:r>
      <w:r w:rsidRPr="0096314F">
        <w:rPr>
          <w:rFonts w:ascii="Times New Roman" w:hAnsi="Times New Roman" w:cs="Times New Roman"/>
        </w:rPr>
        <w:t>10</w:t>
      </w:r>
      <w:r w:rsidRPr="0096314F">
        <w:rPr>
          <w:rFonts w:ascii="Times New Roman" w:hAnsi="Times New Roman" w:cs="Times New Roman"/>
        </w:rPr>
        <w:fldChar w:fldCharType="end"/>
      </w:r>
      <w:r w:rsidRPr="0096314F">
        <w:rPr>
          <w:rFonts w:ascii="Times New Roman" w:hAnsi="Times New Roman" w:cs="Times New Roman"/>
        </w:rPr>
        <w:t>) I.7–9.</w:t>
      </w:r>
    </w:p>
  </w:footnote>
  <w:footnote w:id="27">
    <w:p w14:paraId="5073E6EF" w14:textId="66C8A39A"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See generally Visser (note </w:t>
      </w:r>
      <w:r w:rsidRPr="0096314F">
        <w:rPr>
          <w:rFonts w:ascii="Times New Roman" w:hAnsi="Times New Roman" w:cs="Times New Roman"/>
          <w:sz w:val="22"/>
          <w:szCs w:val="22"/>
        </w:rPr>
        <w:fldChar w:fldCharType="begin"/>
      </w:r>
      <w:r w:rsidRPr="0096314F">
        <w:rPr>
          <w:rFonts w:ascii="Times New Roman" w:hAnsi="Times New Roman" w:cs="Times New Roman"/>
          <w:sz w:val="22"/>
          <w:szCs w:val="22"/>
        </w:rPr>
        <w:instrText xml:space="preserve"> NOTEREF _Ref525825120 \h  \* MERGEFORMAT </w:instrText>
      </w:r>
      <w:r w:rsidRPr="0096314F">
        <w:rPr>
          <w:rFonts w:ascii="Times New Roman" w:hAnsi="Times New Roman" w:cs="Times New Roman"/>
          <w:sz w:val="22"/>
          <w:szCs w:val="22"/>
        </w:rPr>
      </w:r>
      <w:r w:rsidRPr="0096314F">
        <w:rPr>
          <w:rFonts w:ascii="Times New Roman" w:hAnsi="Times New Roman" w:cs="Times New Roman"/>
          <w:sz w:val="22"/>
          <w:szCs w:val="22"/>
        </w:rPr>
        <w:fldChar w:fldCharType="separate"/>
      </w:r>
      <w:r w:rsidRPr="0096314F">
        <w:rPr>
          <w:rFonts w:ascii="Times New Roman" w:hAnsi="Times New Roman" w:cs="Times New Roman"/>
          <w:sz w:val="22"/>
          <w:szCs w:val="22"/>
        </w:rPr>
        <w:t>16</w:t>
      </w:r>
      <w:r w:rsidRPr="0096314F">
        <w:rPr>
          <w:rFonts w:ascii="Times New Roman" w:hAnsi="Times New Roman" w:cs="Times New Roman"/>
          <w:sz w:val="22"/>
          <w:szCs w:val="22"/>
        </w:rPr>
        <w:fldChar w:fldCharType="end"/>
      </w:r>
      <w:r w:rsidRPr="0096314F">
        <w:rPr>
          <w:rFonts w:ascii="Times New Roman" w:hAnsi="Times New Roman" w:cs="Times New Roman"/>
          <w:sz w:val="22"/>
          <w:szCs w:val="22"/>
        </w:rPr>
        <w:t xml:space="preserve">) and Du Plessis (note </w:t>
      </w:r>
      <w:r w:rsidRPr="0096314F">
        <w:rPr>
          <w:rFonts w:ascii="Times New Roman" w:hAnsi="Times New Roman" w:cs="Times New Roman"/>
          <w:sz w:val="22"/>
          <w:szCs w:val="22"/>
        </w:rPr>
        <w:fldChar w:fldCharType="begin"/>
      </w:r>
      <w:r w:rsidRPr="0096314F">
        <w:rPr>
          <w:rFonts w:ascii="Times New Roman" w:hAnsi="Times New Roman" w:cs="Times New Roman"/>
          <w:sz w:val="22"/>
          <w:szCs w:val="22"/>
        </w:rPr>
        <w:instrText xml:space="preserve"> NOTEREF _Ref525825120 \h  \* MERGEFORMAT </w:instrText>
      </w:r>
      <w:r w:rsidRPr="0096314F">
        <w:rPr>
          <w:rFonts w:ascii="Times New Roman" w:hAnsi="Times New Roman" w:cs="Times New Roman"/>
          <w:sz w:val="22"/>
          <w:szCs w:val="22"/>
        </w:rPr>
      </w:r>
      <w:r w:rsidRPr="0096314F">
        <w:rPr>
          <w:rFonts w:ascii="Times New Roman" w:hAnsi="Times New Roman" w:cs="Times New Roman"/>
          <w:sz w:val="22"/>
          <w:szCs w:val="22"/>
        </w:rPr>
        <w:fldChar w:fldCharType="separate"/>
      </w:r>
      <w:r w:rsidRPr="0096314F">
        <w:rPr>
          <w:rFonts w:ascii="Times New Roman" w:hAnsi="Times New Roman" w:cs="Times New Roman"/>
          <w:sz w:val="22"/>
          <w:szCs w:val="22"/>
        </w:rPr>
        <w:t>16</w:t>
      </w:r>
      <w:r w:rsidRPr="0096314F">
        <w:rPr>
          <w:rFonts w:ascii="Times New Roman" w:hAnsi="Times New Roman" w:cs="Times New Roman"/>
          <w:sz w:val="22"/>
          <w:szCs w:val="22"/>
        </w:rPr>
        <w:fldChar w:fldCharType="end"/>
      </w:r>
      <w:r w:rsidRPr="0096314F">
        <w:rPr>
          <w:rFonts w:ascii="Times New Roman" w:hAnsi="Times New Roman" w:cs="Times New Roman"/>
          <w:sz w:val="22"/>
          <w:szCs w:val="22"/>
        </w:rPr>
        <w:t>).</w:t>
      </w:r>
    </w:p>
  </w:footnote>
  <w:footnote w:id="28">
    <w:p w14:paraId="4B875287" w14:textId="773A6754"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iCs/>
          <w:sz w:val="22"/>
          <w:szCs w:val="22"/>
          <w:lang w:val="en-US"/>
        </w:rPr>
        <w:t>Justinian, Institutes</w:t>
      </w:r>
      <w:r w:rsidRPr="0096314F">
        <w:rPr>
          <w:rFonts w:ascii="Times New Roman" w:hAnsi="Times New Roman" w:cs="Times New Roman"/>
          <w:iCs/>
          <w:sz w:val="22"/>
          <w:szCs w:val="22"/>
          <w:lang w:val="en-US"/>
        </w:rPr>
        <w:t>,</w:t>
      </w:r>
      <w:r w:rsidRPr="0096314F">
        <w:rPr>
          <w:rFonts w:ascii="Times New Roman" w:hAnsi="Times New Roman" w:cs="Times New Roman"/>
          <w:sz w:val="22"/>
          <w:szCs w:val="22"/>
          <w:lang w:val="en-US"/>
        </w:rPr>
        <w:t xml:space="preserve"> 2.1.30.</w:t>
      </w:r>
    </w:p>
  </w:footnote>
  <w:footnote w:id="29">
    <w:p w14:paraId="2AF0EA1C" w14:textId="5FAC7CBE"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iCs/>
          <w:sz w:val="22"/>
          <w:szCs w:val="22"/>
          <w:lang w:val="en-US"/>
        </w:rPr>
        <w:t xml:space="preserve">Justinian, Digest, </w:t>
      </w:r>
      <w:r w:rsidRPr="0096314F">
        <w:rPr>
          <w:rFonts w:ascii="Times New Roman" w:hAnsi="Times New Roman" w:cs="Times New Roman"/>
          <w:iCs/>
          <w:sz w:val="22"/>
          <w:szCs w:val="22"/>
          <w:lang w:val="en-US"/>
        </w:rPr>
        <w:t>12.6.33 (Julian).</w:t>
      </w:r>
    </w:p>
  </w:footnote>
  <w:footnote w:id="30">
    <w:p w14:paraId="2D9B2D59" w14:textId="77777777"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bCs/>
          <w:iCs/>
          <w:sz w:val="22"/>
          <w:szCs w:val="22"/>
        </w:rPr>
        <w:t>1911 AD 568</w:t>
      </w:r>
      <w:r w:rsidRPr="0096314F">
        <w:rPr>
          <w:rFonts w:ascii="Times New Roman" w:hAnsi="Times New Roman" w:cs="Times New Roman"/>
          <w:iCs/>
          <w:sz w:val="22"/>
          <w:szCs w:val="22"/>
        </w:rPr>
        <w:t xml:space="preserve"> </w:t>
      </w:r>
    </w:p>
  </w:footnote>
  <w:footnote w:id="31">
    <w:p w14:paraId="352779BD" w14:textId="31DD03F8"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Ibid at </w:t>
      </w:r>
      <w:r w:rsidRPr="0096314F">
        <w:rPr>
          <w:rFonts w:ascii="Times New Roman" w:hAnsi="Times New Roman" w:cs="Times New Roman"/>
          <w:iCs/>
          <w:sz w:val="22"/>
          <w:szCs w:val="22"/>
        </w:rPr>
        <w:t>577</w:t>
      </w:r>
    </w:p>
  </w:footnote>
  <w:footnote w:id="32">
    <w:p w14:paraId="7A3B45CF" w14:textId="77777777" w:rsidR="00762FE5" w:rsidRPr="0096314F" w:rsidRDefault="00762FE5" w:rsidP="009F2C9E">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Ibid at </w:t>
      </w:r>
      <w:r w:rsidRPr="0096314F">
        <w:rPr>
          <w:rFonts w:ascii="Times New Roman" w:hAnsi="Times New Roman" w:cs="Times New Roman"/>
          <w:iCs/>
          <w:sz w:val="22"/>
          <w:szCs w:val="22"/>
        </w:rPr>
        <w:t>579</w:t>
      </w:r>
    </w:p>
  </w:footnote>
  <w:footnote w:id="33">
    <w:p w14:paraId="03599023" w14:textId="69C4D1C8"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Style w:val="lphit"/>
          <w:rFonts w:ascii="Times New Roman" w:hAnsi="Times New Roman" w:cs="Times New Roman"/>
          <w:sz w:val="22"/>
          <w:szCs w:val="22"/>
        </w:rPr>
        <w:t>1915</w:t>
      </w:r>
      <w:r w:rsidRPr="0096314F">
        <w:rPr>
          <w:rFonts w:ascii="Times New Roman" w:hAnsi="Times New Roman" w:cs="Times New Roman"/>
          <w:sz w:val="22"/>
          <w:szCs w:val="22"/>
        </w:rPr>
        <w:t xml:space="preserve"> </w:t>
      </w:r>
      <w:bookmarkStart w:id="8" w:name="LPHit8"/>
      <w:bookmarkEnd w:id="8"/>
      <w:r w:rsidRPr="0096314F">
        <w:rPr>
          <w:rStyle w:val="lphit"/>
          <w:rFonts w:ascii="Times New Roman" w:hAnsi="Times New Roman" w:cs="Times New Roman"/>
          <w:sz w:val="22"/>
          <w:szCs w:val="22"/>
        </w:rPr>
        <w:t>AD</w:t>
      </w:r>
      <w:bookmarkStart w:id="9" w:name="LPHit9"/>
      <w:bookmarkEnd w:id="9"/>
      <w:r w:rsidRPr="0096314F">
        <w:rPr>
          <w:rStyle w:val="lphit"/>
          <w:rFonts w:ascii="Times New Roman" w:hAnsi="Times New Roman" w:cs="Times New Roman"/>
          <w:sz w:val="22"/>
          <w:szCs w:val="22"/>
        </w:rPr>
        <w:t xml:space="preserve"> 636.</w:t>
      </w:r>
    </w:p>
  </w:footnote>
  <w:footnote w:id="34">
    <w:p w14:paraId="1BD137F6" w14:textId="77777777" w:rsidR="00762FE5" w:rsidRPr="0096314F" w:rsidRDefault="00762FE5" w:rsidP="009F2C9E">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Ibid at 650.</w:t>
      </w:r>
    </w:p>
  </w:footnote>
  <w:footnote w:id="35">
    <w:p w14:paraId="41506C03" w14:textId="315BC1E1" w:rsidR="00762FE5" w:rsidRPr="0096314F" w:rsidRDefault="00762FE5">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Cs/>
          <w:sz w:val="22"/>
          <w:szCs w:val="22"/>
        </w:rPr>
        <w:t>1966 3 SA 96 (A).</w:t>
      </w:r>
    </w:p>
  </w:footnote>
  <w:footnote w:id="36">
    <w:p w14:paraId="454C8DB9" w14:textId="43950801"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sz w:val="22"/>
          <w:szCs w:val="22"/>
          <w:lang w:val="en-US"/>
        </w:rPr>
        <w:t xml:space="preserve">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p. </w:t>
      </w:r>
      <w:r w:rsidR="0067222A" w:rsidRPr="0096314F">
        <w:rPr>
          <w:rFonts w:ascii="Times New Roman" w:hAnsi="Times New Roman" w:cs="Times New Roman"/>
          <w:sz w:val="22"/>
          <w:szCs w:val="22"/>
          <w:lang w:val="en-US"/>
        </w:rPr>
        <w:t>272</w:t>
      </w:r>
      <w:r w:rsidRPr="0096314F">
        <w:rPr>
          <w:rFonts w:ascii="Times New Roman" w:hAnsi="Times New Roman" w:cs="Times New Roman"/>
          <w:sz w:val="22"/>
          <w:szCs w:val="22"/>
          <w:lang w:val="en-US"/>
        </w:rPr>
        <w:t>.</w:t>
      </w:r>
    </w:p>
  </w:footnote>
  <w:footnote w:id="37">
    <w:p w14:paraId="1D2B370D" w14:textId="4760EEF2"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iCs/>
          <w:sz w:val="22"/>
          <w:szCs w:val="22"/>
        </w:rPr>
        <w:t xml:space="preserve">McCarthy Retail </w:t>
      </w:r>
      <w:r w:rsidRPr="0096314F">
        <w:rPr>
          <w:rFonts w:ascii="Times New Roman" w:hAnsi="Times New Roman" w:cs="Times New Roman"/>
          <w:iCs/>
          <w:sz w:val="22"/>
          <w:szCs w:val="22"/>
        </w:rPr>
        <w:t xml:space="preserve">(note </w:t>
      </w:r>
      <w:r w:rsidRPr="0096314F">
        <w:rPr>
          <w:rFonts w:ascii="Times New Roman" w:hAnsi="Times New Roman" w:cs="Times New Roman"/>
          <w:iCs/>
          <w:sz w:val="22"/>
          <w:szCs w:val="22"/>
        </w:rPr>
        <w:fldChar w:fldCharType="begin"/>
      </w:r>
      <w:r w:rsidRPr="0096314F">
        <w:rPr>
          <w:rFonts w:ascii="Times New Roman" w:hAnsi="Times New Roman" w:cs="Times New Roman"/>
          <w:iCs/>
          <w:sz w:val="22"/>
          <w:szCs w:val="22"/>
        </w:rPr>
        <w:instrText xml:space="preserve"> NOTEREF _Ref525825240 \h </w:instrText>
      </w:r>
      <w:r w:rsidR="0096314F" w:rsidRPr="0096314F">
        <w:rPr>
          <w:rFonts w:ascii="Times New Roman" w:hAnsi="Times New Roman" w:cs="Times New Roman"/>
          <w:iCs/>
          <w:sz w:val="22"/>
          <w:szCs w:val="22"/>
        </w:rPr>
        <w:instrText xml:space="preserve"> \* MERGEFORMAT </w:instrText>
      </w:r>
      <w:r w:rsidRPr="0096314F">
        <w:rPr>
          <w:rFonts w:ascii="Times New Roman" w:hAnsi="Times New Roman" w:cs="Times New Roman"/>
          <w:iCs/>
          <w:sz w:val="22"/>
          <w:szCs w:val="22"/>
        </w:rPr>
      </w:r>
      <w:r w:rsidRPr="0096314F">
        <w:rPr>
          <w:rFonts w:ascii="Times New Roman" w:hAnsi="Times New Roman" w:cs="Times New Roman"/>
          <w:iCs/>
          <w:sz w:val="22"/>
          <w:szCs w:val="22"/>
        </w:rPr>
        <w:fldChar w:fldCharType="separate"/>
      </w:r>
      <w:r w:rsidRPr="0096314F">
        <w:rPr>
          <w:rFonts w:ascii="Times New Roman" w:hAnsi="Times New Roman" w:cs="Times New Roman"/>
          <w:iCs/>
          <w:sz w:val="22"/>
          <w:szCs w:val="22"/>
        </w:rPr>
        <w:t>9</w:t>
      </w:r>
      <w:r w:rsidRPr="0096314F">
        <w:rPr>
          <w:rFonts w:ascii="Times New Roman" w:hAnsi="Times New Roman" w:cs="Times New Roman"/>
          <w:iCs/>
          <w:sz w:val="22"/>
          <w:szCs w:val="22"/>
        </w:rPr>
        <w:fldChar w:fldCharType="end"/>
      </w:r>
      <w:r w:rsidRPr="0096314F">
        <w:rPr>
          <w:rFonts w:ascii="Times New Roman" w:hAnsi="Times New Roman" w:cs="Times New Roman"/>
          <w:iCs/>
          <w:sz w:val="22"/>
          <w:szCs w:val="22"/>
        </w:rPr>
        <w:t>) at [1] – [3].</w:t>
      </w:r>
    </w:p>
  </w:footnote>
  <w:footnote w:id="38">
    <w:p w14:paraId="21303EBF" w14:textId="2745FD66" w:rsidR="00762FE5" w:rsidRPr="0096314F" w:rsidRDefault="00762FE5" w:rsidP="00C535F2">
      <w:pPr>
        <w:pStyle w:val="FootnoteText"/>
        <w:rPr>
          <w:rFonts w:ascii="Times New Roman" w:hAnsi="Times New Roman" w:cs="Times New Roman"/>
          <w:i/>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Ibid at [8]</w:t>
      </w:r>
    </w:p>
  </w:footnote>
  <w:footnote w:id="39">
    <w:p w14:paraId="52E3E53A" w14:textId="73E67BDC"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See the significant discussion of this issue in 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in particular p. 46-54 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1-10.</w:t>
      </w:r>
    </w:p>
  </w:footnote>
  <w:footnote w:id="40">
    <w:p w14:paraId="0BDDB29F" w14:textId="77777777"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1966 (3) SA 96 (A).</w:t>
      </w:r>
    </w:p>
  </w:footnote>
  <w:footnote w:id="41">
    <w:p w14:paraId="531A3B5A" w14:textId="38ED644F"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p. 49-53, 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4-5.</w:t>
      </w:r>
    </w:p>
  </w:footnote>
  <w:footnote w:id="42">
    <w:p w14:paraId="3063D160" w14:textId="062DEC91"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53.</w:t>
      </w:r>
    </w:p>
  </w:footnote>
  <w:footnote w:id="43">
    <w:p w14:paraId="00641603" w14:textId="113A73F0"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Ibid at for instance p. 113.</w:t>
      </w:r>
    </w:p>
  </w:footnote>
  <w:footnote w:id="44">
    <w:p w14:paraId="1AAD252B" w14:textId="2AD91D31"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6-10.</w:t>
      </w:r>
    </w:p>
  </w:footnote>
  <w:footnote w:id="45">
    <w:p w14:paraId="7F779F50" w14:textId="6641A236"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50.</w:t>
      </w:r>
    </w:p>
  </w:footnote>
  <w:footnote w:id="46">
    <w:p w14:paraId="2B27AD37" w14:textId="7EF8E168"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w:t>
      </w:r>
      <w:r w:rsidRPr="0096314F">
        <w:rPr>
          <w:rFonts w:ascii="Times New Roman" w:hAnsi="Times New Roman" w:cs="Times New Roman"/>
          <w:i/>
          <w:sz w:val="22"/>
          <w:szCs w:val="22"/>
          <w:lang w:val="en-US"/>
        </w:rPr>
        <w:t xml:space="preserve">McCarthy Retail </w:t>
      </w:r>
      <w:r w:rsidRPr="0096314F">
        <w:rPr>
          <w:rFonts w:ascii="Times New Roman" w:hAnsi="Times New Roman" w:cs="Times New Roman"/>
          <w:sz w:val="22"/>
          <w:szCs w:val="22"/>
          <w:lang w:val="en-US"/>
        </w:rPr>
        <w:t>(</w:t>
      </w:r>
      <w:r w:rsidRPr="0096314F">
        <w:rPr>
          <w:rFonts w:ascii="Times New Roman" w:hAnsi="Times New Roman" w:cs="Times New Roman"/>
          <w:iCs/>
          <w:sz w:val="22"/>
          <w:szCs w:val="22"/>
        </w:rPr>
        <w:t xml:space="preserve">note </w:t>
      </w:r>
      <w:r w:rsidRPr="0096314F">
        <w:rPr>
          <w:rFonts w:ascii="Times New Roman" w:hAnsi="Times New Roman" w:cs="Times New Roman"/>
          <w:iCs/>
          <w:sz w:val="22"/>
          <w:szCs w:val="22"/>
        </w:rPr>
        <w:fldChar w:fldCharType="begin"/>
      </w:r>
      <w:r w:rsidRPr="0096314F">
        <w:rPr>
          <w:rFonts w:ascii="Times New Roman" w:hAnsi="Times New Roman" w:cs="Times New Roman"/>
          <w:iCs/>
          <w:sz w:val="22"/>
          <w:szCs w:val="22"/>
        </w:rPr>
        <w:instrText xml:space="preserve"> NOTEREF _Ref525825240 \h </w:instrText>
      </w:r>
      <w:r w:rsidR="0096314F" w:rsidRPr="0096314F">
        <w:rPr>
          <w:rFonts w:ascii="Times New Roman" w:hAnsi="Times New Roman" w:cs="Times New Roman"/>
          <w:iCs/>
          <w:sz w:val="22"/>
          <w:szCs w:val="22"/>
        </w:rPr>
        <w:instrText xml:space="preserve"> \* MERGEFORMAT </w:instrText>
      </w:r>
      <w:r w:rsidRPr="0096314F">
        <w:rPr>
          <w:rFonts w:ascii="Times New Roman" w:hAnsi="Times New Roman" w:cs="Times New Roman"/>
          <w:iCs/>
          <w:sz w:val="22"/>
          <w:szCs w:val="22"/>
        </w:rPr>
      </w:r>
      <w:r w:rsidRPr="0096314F">
        <w:rPr>
          <w:rFonts w:ascii="Times New Roman" w:hAnsi="Times New Roman" w:cs="Times New Roman"/>
          <w:iCs/>
          <w:sz w:val="22"/>
          <w:szCs w:val="22"/>
        </w:rPr>
        <w:fldChar w:fldCharType="separate"/>
      </w:r>
      <w:r w:rsidRPr="0096314F">
        <w:rPr>
          <w:rFonts w:ascii="Times New Roman" w:hAnsi="Times New Roman" w:cs="Times New Roman"/>
          <w:iCs/>
          <w:sz w:val="22"/>
          <w:szCs w:val="22"/>
        </w:rPr>
        <w:t>9</w:t>
      </w:r>
      <w:r w:rsidRPr="0096314F">
        <w:rPr>
          <w:rFonts w:ascii="Times New Roman" w:hAnsi="Times New Roman" w:cs="Times New Roman"/>
          <w:iCs/>
          <w:sz w:val="22"/>
          <w:szCs w:val="22"/>
        </w:rPr>
        <w:fldChar w:fldCharType="end"/>
      </w:r>
      <w:r w:rsidRPr="0096314F">
        <w:rPr>
          <w:rFonts w:ascii="Times New Roman" w:hAnsi="Times New Roman" w:cs="Times New Roman"/>
          <w:sz w:val="22"/>
          <w:szCs w:val="22"/>
          <w:lang w:val="en-US"/>
        </w:rPr>
        <w:t>) at [24].</w:t>
      </w:r>
    </w:p>
  </w:footnote>
  <w:footnote w:id="47">
    <w:p w14:paraId="2C2CEB47" w14:textId="18ACB066" w:rsidR="00762FE5" w:rsidRPr="0096314F" w:rsidRDefault="00762FE5" w:rsidP="001F38F4">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Harms JA concurred with this aspect of Schutz JA’s reasoning in </w:t>
      </w:r>
      <w:r w:rsidRPr="0096314F">
        <w:rPr>
          <w:rFonts w:ascii="Times New Roman" w:hAnsi="Times New Roman" w:cs="Times New Roman"/>
          <w:i/>
          <w:sz w:val="22"/>
          <w:szCs w:val="22"/>
          <w:lang w:val="en-US"/>
        </w:rPr>
        <w:t xml:space="preserve">McCarthy Retail </w:t>
      </w:r>
      <w:r w:rsidRPr="0096314F">
        <w:rPr>
          <w:rFonts w:ascii="Times New Roman" w:hAnsi="Times New Roman" w:cs="Times New Roman"/>
          <w:sz w:val="22"/>
          <w:szCs w:val="22"/>
          <w:lang w:val="en-US"/>
        </w:rPr>
        <w:t xml:space="preserve">(note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_Ref506473383 \h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w:t>
      </w:r>
      <w:r w:rsidR="0014132F" w:rsidRPr="0096314F">
        <w:rPr>
          <w:rFonts w:ascii="Times New Roman" w:hAnsi="Times New Roman" w:cs="Times New Roman"/>
          <w:sz w:val="22"/>
          <w:szCs w:val="22"/>
          <w:lang w:val="en-US"/>
        </w:rPr>
        <w:t xml:space="preserve"> at [37]</w:t>
      </w:r>
      <w:r w:rsidRPr="0096314F">
        <w:rPr>
          <w:rFonts w:ascii="Times New Roman" w:hAnsi="Times New Roman" w:cs="Times New Roman"/>
          <w:sz w:val="22"/>
          <w:szCs w:val="22"/>
          <w:lang w:val="en-US"/>
        </w:rPr>
        <w:t>.</w:t>
      </w:r>
    </w:p>
  </w:footnote>
  <w:footnote w:id="48">
    <w:p w14:paraId="524AC388" w14:textId="0143DEC8"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p. 223; 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60-4.</w:t>
      </w:r>
    </w:p>
  </w:footnote>
  <w:footnote w:id="49">
    <w:p w14:paraId="193C0FDA" w14:textId="1FD534F2"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0014132F" w:rsidRPr="0096314F">
        <w:rPr>
          <w:rFonts w:ascii="Times New Roman" w:hAnsi="Times New Roman" w:cs="Times New Roman"/>
          <w:sz w:val="22"/>
          <w:szCs w:val="22"/>
          <w:lang w:val="en-US"/>
        </w:rPr>
        <w:t xml:space="preserve"> H.</w:t>
      </w:r>
      <w:r w:rsidRPr="0096314F">
        <w:rPr>
          <w:rFonts w:ascii="Times New Roman" w:hAnsi="Times New Roman" w:cs="Times New Roman"/>
          <w:sz w:val="22"/>
          <w:szCs w:val="22"/>
          <w:lang w:val="en-US"/>
        </w:rPr>
        <w:t xml:space="preserve"> Scott </w:t>
      </w:r>
      <w:r w:rsidRPr="0096314F">
        <w:rPr>
          <w:rFonts w:ascii="Times New Roman" w:hAnsi="Times New Roman" w:cs="Times New Roman"/>
          <w:i/>
          <w:sz w:val="22"/>
          <w:szCs w:val="22"/>
          <w:lang w:val="en-US"/>
        </w:rPr>
        <w:t xml:space="preserve">Unjust Enrichment in South African Law: Rethinking Enrichment by Transfer </w:t>
      </w:r>
      <w:r w:rsidRPr="0096314F">
        <w:rPr>
          <w:rFonts w:ascii="Times New Roman" w:hAnsi="Times New Roman" w:cs="Times New Roman"/>
          <w:sz w:val="22"/>
          <w:szCs w:val="22"/>
          <w:lang w:val="en-US"/>
        </w:rPr>
        <w:t>(2013)</w:t>
      </w:r>
      <w:r w:rsidR="009416BF" w:rsidRPr="0096314F">
        <w:rPr>
          <w:rFonts w:ascii="Times New Roman" w:hAnsi="Times New Roman" w:cs="Times New Roman"/>
          <w:sz w:val="22"/>
          <w:szCs w:val="22"/>
          <w:lang w:val="en-US"/>
        </w:rPr>
        <w:t xml:space="preserve"> p. 6</w:t>
      </w:r>
      <w:r w:rsidRPr="0096314F">
        <w:rPr>
          <w:rFonts w:ascii="Times New Roman" w:hAnsi="Times New Roman" w:cs="Times New Roman"/>
          <w:sz w:val="22"/>
          <w:szCs w:val="22"/>
          <w:lang w:val="en-US"/>
        </w:rPr>
        <w:t>.</w:t>
      </w:r>
    </w:p>
  </w:footnote>
  <w:footnote w:id="50">
    <w:p w14:paraId="3038D0B3" w14:textId="23C6482B"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As was found by the trial judge in </w:t>
      </w:r>
      <w:r w:rsidRPr="0096314F">
        <w:rPr>
          <w:rFonts w:ascii="Times New Roman" w:hAnsi="Times New Roman" w:cs="Times New Roman"/>
          <w:i/>
          <w:sz w:val="22"/>
          <w:szCs w:val="22"/>
          <w:lang w:val="en-US"/>
        </w:rPr>
        <w:t xml:space="preserve">McCarthy Retail </w:t>
      </w:r>
      <w:r w:rsidRPr="0096314F">
        <w:rPr>
          <w:rFonts w:ascii="Times New Roman" w:hAnsi="Times New Roman" w:cs="Times New Roman"/>
          <w:sz w:val="22"/>
          <w:szCs w:val="22"/>
          <w:lang w:val="en-US"/>
        </w:rPr>
        <w:t>(</w:t>
      </w:r>
      <w:r w:rsidRPr="0096314F">
        <w:rPr>
          <w:rFonts w:ascii="Times New Roman" w:hAnsi="Times New Roman" w:cs="Times New Roman"/>
          <w:iCs/>
          <w:sz w:val="22"/>
          <w:szCs w:val="22"/>
        </w:rPr>
        <w:t xml:space="preserve">note </w:t>
      </w:r>
      <w:r w:rsidRPr="0096314F">
        <w:rPr>
          <w:rFonts w:ascii="Times New Roman" w:hAnsi="Times New Roman" w:cs="Times New Roman"/>
          <w:iCs/>
          <w:sz w:val="22"/>
          <w:szCs w:val="22"/>
        </w:rPr>
        <w:fldChar w:fldCharType="begin"/>
      </w:r>
      <w:r w:rsidRPr="0096314F">
        <w:rPr>
          <w:rFonts w:ascii="Times New Roman" w:hAnsi="Times New Roman" w:cs="Times New Roman"/>
          <w:iCs/>
          <w:sz w:val="22"/>
          <w:szCs w:val="22"/>
        </w:rPr>
        <w:instrText xml:space="preserve"> NOTEREF _Ref525825240 \h </w:instrText>
      </w:r>
      <w:r w:rsidR="0096314F" w:rsidRPr="0096314F">
        <w:rPr>
          <w:rFonts w:ascii="Times New Roman" w:hAnsi="Times New Roman" w:cs="Times New Roman"/>
          <w:iCs/>
          <w:sz w:val="22"/>
          <w:szCs w:val="22"/>
        </w:rPr>
        <w:instrText xml:space="preserve"> \* MERGEFORMAT </w:instrText>
      </w:r>
      <w:r w:rsidRPr="0096314F">
        <w:rPr>
          <w:rFonts w:ascii="Times New Roman" w:hAnsi="Times New Roman" w:cs="Times New Roman"/>
          <w:iCs/>
          <w:sz w:val="22"/>
          <w:szCs w:val="22"/>
        </w:rPr>
      </w:r>
      <w:r w:rsidRPr="0096314F">
        <w:rPr>
          <w:rFonts w:ascii="Times New Roman" w:hAnsi="Times New Roman" w:cs="Times New Roman"/>
          <w:iCs/>
          <w:sz w:val="22"/>
          <w:szCs w:val="22"/>
        </w:rPr>
        <w:fldChar w:fldCharType="separate"/>
      </w:r>
      <w:r w:rsidRPr="0096314F">
        <w:rPr>
          <w:rFonts w:ascii="Times New Roman" w:hAnsi="Times New Roman" w:cs="Times New Roman"/>
          <w:iCs/>
          <w:sz w:val="22"/>
          <w:szCs w:val="22"/>
        </w:rPr>
        <w:t>9</w:t>
      </w:r>
      <w:r w:rsidRPr="0096314F">
        <w:rPr>
          <w:rFonts w:ascii="Times New Roman" w:hAnsi="Times New Roman" w:cs="Times New Roman"/>
          <w:iCs/>
          <w:sz w:val="22"/>
          <w:szCs w:val="22"/>
        </w:rPr>
        <w:fldChar w:fldCharType="end"/>
      </w:r>
      <w:r w:rsidRPr="0096314F">
        <w:rPr>
          <w:rFonts w:ascii="Times New Roman" w:hAnsi="Times New Roman" w:cs="Times New Roman"/>
          <w:sz w:val="22"/>
          <w:szCs w:val="22"/>
          <w:lang w:val="en-US"/>
        </w:rPr>
        <w:t>) at [24].</w:t>
      </w:r>
    </w:p>
  </w:footnote>
  <w:footnote w:id="51">
    <w:p w14:paraId="0EAB26D7" w14:textId="7DF72B9C"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p. 223; 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p. 60-4.</w:t>
      </w:r>
    </w:p>
  </w:footnote>
  <w:footnote w:id="52">
    <w:p w14:paraId="56FDC857" w14:textId="0E50F773"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i/>
          <w:sz w:val="22"/>
          <w:szCs w:val="22"/>
          <w:lang w:val="en-US"/>
        </w:rPr>
        <w:t xml:space="preserve">McCarthy Retail </w:t>
      </w:r>
      <w:r w:rsidRPr="0096314F">
        <w:rPr>
          <w:rFonts w:ascii="Times New Roman" w:hAnsi="Times New Roman" w:cs="Times New Roman"/>
          <w:sz w:val="22"/>
          <w:szCs w:val="22"/>
          <w:lang w:val="en-US"/>
        </w:rPr>
        <w:t>(</w:t>
      </w:r>
      <w:r w:rsidRPr="0096314F">
        <w:rPr>
          <w:rFonts w:ascii="Times New Roman" w:hAnsi="Times New Roman" w:cs="Times New Roman"/>
          <w:iCs/>
          <w:sz w:val="22"/>
          <w:szCs w:val="22"/>
        </w:rPr>
        <w:t xml:space="preserve">note </w:t>
      </w:r>
      <w:r w:rsidRPr="0096314F">
        <w:rPr>
          <w:rFonts w:ascii="Times New Roman" w:hAnsi="Times New Roman" w:cs="Times New Roman"/>
          <w:iCs/>
          <w:sz w:val="22"/>
          <w:szCs w:val="22"/>
        </w:rPr>
        <w:fldChar w:fldCharType="begin"/>
      </w:r>
      <w:r w:rsidRPr="0096314F">
        <w:rPr>
          <w:rFonts w:ascii="Times New Roman" w:hAnsi="Times New Roman" w:cs="Times New Roman"/>
          <w:iCs/>
          <w:sz w:val="22"/>
          <w:szCs w:val="22"/>
        </w:rPr>
        <w:instrText xml:space="preserve"> NOTEREF _Ref525825240 \h </w:instrText>
      </w:r>
      <w:r w:rsidR="0096314F" w:rsidRPr="0096314F">
        <w:rPr>
          <w:rFonts w:ascii="Times New Roman" w:hAnsi="Times New Roman" w:cs="Times New Roman"/>
          <w:iCs/>
          <w:sz w:val="22"/>
          <w:szCs w:val="22"/>
        </w:rPr>
        <w:instrText xml:space="preserve"> \* MERGEFORMAT </w:instrText>
      </w:r>
      <w:r w:rsidRPr="0096314F">
        <w:rPr>
          <w:rFonts w:ascii="Times New Roman" w:hAnsi="Times New Roman" w:cs="Times New Roman"/>
          <w:iCs/>
          <w:sz w:val="22"/>
          <w:szCs w:val="22"/>
        </w:rPr>
      </w:r>
      <w:r w:rsidRPr="0096314F">
        <w:rPr>
          <w:rFonts w:ascii="Times New Roman" w:hAnsi="Times New Roman" w:cs="Times New Roman"/>
          <w:iCs/>
          <w:sz w:val="22"/>
          <w:szCs w:val="22"/>
        </w:rPr>
        <w:fldChar w:fldCharType="separate"/>
      </w:r>
      <w:r w:rsidRPr="0096314F">
        <w:rPr>
          <w:rFonts w:ascii="Times New Roman" w:hAnsi="Times New Roman" w:cs="Times New Roman"/>
          <w:iCs/>
          <w:sz w:val="22"/>
          <w:szCs w:val="22"/>
        </w:rPr>
        <w:t>9</w:t>
      </w:r>
      <w:r w:rsidRPr="0096314F">
        <w:rPr>
          <w:rFonts w:ascii="Times New Roman" w:hAnsi="Times New Roman" w:cs="Times New Roman"/>
          <w:iCs/>
          <w:sz w:val="22"/>
          <w:szCs w:val="22"/>
        </w:rPr>
        <w:fldChar w:fldCharType="end"/>
      </w:r>
      <w:r w:rsidRPr="0096314F">
        <w:rPr>
          <w:rFonts w:ascii="Times New Roman" w:hAnsi="Times New Roman" w:cs="Times New Roman"/>
          <w:sz w:val="22"/>
          <w:szCs w:val="22"/>
          <w:lang w:val="en-US"/>
        </w:rPr>
        <w:t>) at [17]</w:t>
      </w:r>
    </w:p>
  </w:footnote>
  <w:footnote w:id="53">
    <w:p w14:paraId="60FBA152" w14:textId="2FD5CC2B" w:rsidR="00762FE5" w:rsidRPr="0096314F" w:rsidRDefault="00762FE5" w:rsidP="00890500">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0014132F" w:rsidRPr="0096314F">
        <w:rPr>
          <w:rFonts w:ascii="Times New Roman" w:hAnsi="Times New Roman" w:cs="Times New Roman"/>
          <w:sz w:val="22"/>
          <w:szCs w:val="22"/>
        </w:rPr>
        <w:t xml:space="preserve"> See B.</w:t>
      </w:r>
      <w:r w:rsidR="009416BF" w:rsidRPr="0096314F">
        <w:rPr>
          <w:rFonts w:ascii="Times New Roman" w:hAnsi="Times New Roman" w:cs="Times New Roman"/>
          <w:sz w:val="22"/>
          <w:szCs w:val="22"/>
        </w:rPr>
        <w:t xml:space="preserve"> Hä</w:t>
      </w:r>
      <w:r w:rsidRPr="0096314F">
        <w:rPr>
          <w:rFonts w:ascii="Times New Roman" w:hAnsi="Times New Roman" w:cs="Times New Roman"/>
          <w:sz w:val="22"/>
          <w:szCs w:val="22"/>
        </w:rPr>
        <w:t xml:space="preserve">cker </w:t>
      </w:r>
      <w:r w:rsidRPr="0096314F">
        <w:rPr>
          <w:rFonts w:ascii="Times New Roman" w:hAnsi="Times New Roman" w:cs="Times New Roman"/>
          <w:i/>
          <w:sz w:val="22"/>
          <w:szCs w:val="22"/>
        </w:rPr>
        <w:t xml:space="preserve">Consequences of Impaired Consent Transfers </w:t>
      </w:r>
      <w:r w:rsidRPr="0096314F">
        <w:rPr>
          <w:rFonts w:ascii="Times New Roman" w:hAnsi="Times New Roman" w:cs="Times New Roman"/>
          <w:sz w:val="22"/>
          <w:szCs w:val="22"/>
        </w:rPr>
        <w:t xml:space="preserve">(2009) </w:t>
      </w:r>
      <w:r w:rsidR="009416BF" w:rsidRPr="0096314F">
        <w:rPr>
          <w:rFonts w:ascii="Times New Roman" w:hAnsi="Times New Roman" w:cs="Times New Roman"/>
          <w:sz w:val="22"/>
          <w:szCs w:val="22"/>
        </w:rPr>
        <w:t xml:space="preserve">p. </w:t>
      </w:r>
      <w:r w:rsidRPr="0096314F">
        <w:rPr>
          <w:rFonts w:ascii="Times New Roman" w:hAnsi="Times New Roman" w:cs="Times New Roman"/>
          <w:sz w:val="22"/>
          <w:szCs w:val="22"/>
        </w:rPr>
        <w:t>225-6 for an explanation in English of the relevant German provisions.</w:t>
      </w:r>
    </w:p>
  </w:footnote>
  <w:footnote w:id="54">
    <w:p w14:paraId="3068C053" w14:textId="77777777" w:rsidR="00762FE5" w:rsidRPr="0096314F" w:rsidRDefault="00762FE5" w:rsidP="00890500">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1996 (4) SA 19 (A).</w:t>
      </w:r>
    </w:p>
  </w:footnote>
  <w:footnote w:id="55">
    <w:p w14:paraId="55FFD495" w14:textId="40A2B73E"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[2008] UKHL 55.</w:t>
      </w:r>
    </w:p>
  </w:footnote>
  <w:footnote w:id="56">
    <w:p w14:paraId="67697310" w14:textId="267717A8"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Ibid at para 41 (Lord Scott).</w:t>
      </w:r>
    </w:p>
  </w:footnote>
  <w:footnote w:id="57">
    <w:p w14:paraId="3DA6FB75" w14:textId="32889ADB" w:rsidR="00762FE5" w:rsidRPr="0096314F" w:rsidRDefault="00762FE5" w:rsidP="00C535F2">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0014132F" w:rsidRPr="0096314F">
        <w:rPr>
          <w:rFonts w:ascii="Times New Roman" w:hAnsi="Times New Roman" w:cs="Times New Roman"/>
          <w:sz w:val="22"/>
          <w:szCs w:val="22"/>
        </w:rPr>
        <w:t xml:space="preserve"> </w:t>
      </w:r>
      <w:r w:rsidRPr="0096314F">
        <w:rPr>
          <w:rFonts w:ascii="Times New Roman" w:hAnsi="Times New Roman" w:cs="Times New Roman"/>
          <w:sz w:val="22"/>
          <w:szCs w:val="22"/>
          <w:lang w:val="en-US"/>
        </w:rPr>
        <w:t xml:space="preserve">Visser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p. </w:t>
      </w:r>
      <w:r w:rsidR="009416BF" w:rsidRPr="0096314F">
        <w:rPr>
          <w:rFonts w:ascii="Times New Roman" w:hAnsi="Times New Roman" w:cs="Times New Roman"/>
          <w:sz w:val="22"/>
          <w:szCs w:val="22"/>
          <w:lang w:val="en-US"/>
        </w:rPr>
        <w:t>223</w:t>
      </w:r>
      <w:r w:rsidRPr="0096314F">
        <w:rPr>
          <w:rFonts w:ascii="Times New Roman" w:hAnsi="Times New Roman" w:cs="Times New Roman"/>
          <w:sz w:val="22"/>
          <w:szCs w:val="22"/>
          <w:lang w:val="en-US"/>
        </w:rPr>
        <w:t xml:space="preserve">; 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p. </w:t>
      </w:r>
      <w:r w:rsidR="009416BF" w:rsidRPr="0096314F">
        <w:rPr>
          <w:rFonts w:ascii="Times New Roman" w:hAnsi="Times New Roman" w:cs="Times New Roman"/>
          <w:sz w:val="22"/>
          <w:szCs w:val="22"/>
          <w:lang w:val="en-US"/>
        </w:rPr>
        <w:t>62</w:t>
      </w:r>
      <w:r w:rsidRPr="0096314F">
        <w:rPr>
          <w:rFonts w:ascii="Times New Roman" w:hAnsi="Times New Roman" w:cs="Times New Roman"/>
          <w:sz w:val="22"/>
          <w:szCs w:val="22"/>
          <w:lang w:val="en-US"/>
        </w:rPr>
        <w:t>.</w:t>
      </w:r>
    </w:p>
  </w:footnote>
  <w:footnote w:id="58">
    <w:p w14:paraId="4A098009" w14:textId="3DA99B00" w:rsidR="00762FE5" w:rsidRPr="0096314F" w:rsidRDefault="00762FE5">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sz w:val="22"/>
          <w:szCs w:val="22"/>
          <w:lang w:val="en-US"/>
        </w:rPr>
        <w:t xml:space="preserve">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w:t>
      </w:r>
      <w:r w:rsidR="0014132F" w:rsidRPr="0096314F">
        <w:rPr>
          <w:rFonts w:ascii="Times New Roman" w:hAnsi="Times New Roman" w:cs="Times New Roman"/>
          <w:sz w:val="22"/>
          <w:szCs w:val="22"/>
          <w:lang w:val="en-US"/>
        </w:rPr>
        <w:t xml:space="preserve"> p. </w:t>
      </w:r>
      <w:r w:rsidR="0067222A" w:rsidRPr="0096314F">
        <w:rPr>
          <w:rFonts w:ascii="Times New Roman" w:hAnsi="Times New Roman" w:cs="Times New Roman"/>
          <w:sz w:val="22"/>
          <w:szCs w:val="22"/>
          <w:lang w:val="en-US"/>
        </w:rPr>
        <w:t>272</w:t>
      </w:r>
      <w:r w:rsidRPr="0096314F">
        <w:rPr>
          <w:rFonts w:ascii="Times New Roman" w:hAnsi="Times New Roman" w:cs="Times New Roman"/>
          <w:sz w:val="22"/>
          <w:szCs w:val="22"/>
          <w:lang w:val="en-US"/>
        </w:rPr>
        <w:t xml:space="preserve">; Robin Evans-Jones </w:t>
      </w:r>
      <w:r w:rsidR="0014132F" w:rsidRPr="0096314F">
        <w:rPr>
          <w:rFonts w:ascii="Times New Roman" w:hAnsi="Times New Roman" w:cs="Times New Roman"/>
          <w:sz w:val="22"/>
          <w:szCs w:val="22"/>
          <w:lang w:val="en-US"/>
        </w:rPr>
        <w:t xml:space="preserve">“Seeking </w:t>
      </w:r>
      <w:r w:rsidR="0067222A" w:rsidRPr="0096314F">
        <w:rPr>
          <w:rFonts w:ascii="Times New Roman" w:hAnsi="Times New Roman" w:cs="Times New Roman"/>
          <w:sz w:val="22"/>
          <w:szCs w:val="22"/>
          <w:lang w:val="en-US"/>
        </w:rPr>
        <w:t xml:space="preserve">Imposed Enrichment in </w:t>
      </w:r>
      <w:r w:rsidR="0014132F" w:rsidRPr="0096314F">
        <w:rPr>
          <w:rFonts w:ascii="Times New Roman" w:hAnsi="Times New Roman" w:cs="Times New Roman"/>
          <w:sz w:val="22"/>
          <w:szCs w:val="22"/>
          <w:lang w:val="en-US"/>
        </w:rPr>
        <w:t xml:space="preserve">Improvements – Classifications and General Enrichment Actions in Mixed Systems: Scotland and South Africa) 16 </w:t>
      </w:r>
      <w:r w:rsidR="0014132F" w:rsidRPr="0096314F">
        <w:rPr>
          <w:rFonts w:ascii="Times New Roman" w:hAnsi="Times New Roman" w:cs="Times New Roman"/>
          <w:i/>
          <w:sz w:val="22"/>
          <w:szCs w:val="22"/>
          <w:lang w:val="en-US"/>
        </w:rPr>
        <w:t xml:space="preserve">Restitution Law Review </w:t>
      </w:r>
      <w:r w:rsidR="009416BF" w:rsidRPr="0096314F">
        <w:rPr>
          <w:rFonts w:ascii="Times New Roman" w:hAnsi="Times New Roman" w:cs="Times New Roman"/>
          <w:sz w:val="22"/>
          <w:szCs w:val="22"/>
          <w:lang w:val="en-US"/>
        </w:rPr>
        <w:t>18 (2008).</w:t>
      </w:r>
    </w:p>
  </w:footnote>
  <w:footnote w:id="59">
    <w:p w14:paraId="568B92B4" w14:textId="2EAC27DE" w:rsidR="0014132F" w:rsidRPr="0096314F" w:rsidRDefault="0014132F">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Pr="0096314F">
        <w:rPr>
          <w:rFonts w:ascii="Times New Roman" w:hAnsi="Times New Roman" w:cs="Times New Roman"/>
          <w:sz w:val="22"/>
          <w:szCs w:val="22"/>
          <w:lang w:val="en-US"/>
        </w:rPr>
        <w:t xml:space="preserve">Du Plessis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16</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w:t>
      </w:r>
      <w:r w:rsidR="009416BF" w:rsidRPr="0096314F">
        <w:rPr>
          <w:rFonts w:ascii="Times New Roman" w:hAnsi="Times New Roman" w:cs="Times New Roman"/>
          <w:sz w:val="22"/>
          <w:szCs w:val="22"/>
          <w:lang w:val="en-US"/>
        </w:rPr>
        <w:t xml:space="preserve"> p. </w:t>
      </w:r>
      <w:r w:rsidR="0067222A" w:rsidRPr="0096314F">
        <w:rPr>
          <w:rFonts w:ascii="Times New Roman" w:hAnsi="Times New Roman" w:cs="Times New Roman"/>
          <w:sz w:val="22"/>
          <w:szCs w:val="22"/>
          <w:lang w:val="en-US"/>
        </w:rPr>
        <w:t>272</w:t>
      </w:r>
      <w:r w:rsidR="009416BF" w:rsidRPr="0096314F">
        <w:rPr>
          <w:rFonts w:ascii="Times New Roman" w:hAnsi="Times New Roman" w:cs="Times New Roman"/>
          <w:sz w:val="22"/>
          <w:szCs w:val="22"/>
          <w:lang w:val="en-US"/>
        </w:rPr>
        <w:t>.</w:t>
      </w:r>
    </w:p>
  </w:footnote>
  <w:footnote w:id="60">
    <w:p w14:paraId="6981AC83" w14:textId="1D823376" w:rsidR="00762FE5" w:rsidRPr="0096314F" w:rsidRDefault="00762FE5" w:rsidP="00C535F2">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0014132F" w:rsidRPr="0096314F">
        <w:rPr>
          <w:rFonts w:ascii="Times New Roman" w:hAnsi="Times New Roman" w:cs="Times New Roman"/>
          <w:sz w:val="22"/>
          <w:szCs w:val="22"/>
        </w:rPr>
        <w:t xml:space="preserve">Evans-Jones (note </w:t>
      </w:r>
      <w:r w:rsidR="0014132F" w:rsidRPr="0096314F">
        <w:rPr>
          <w:rFonts w:ascii="Times New Roman" w:hAnsi="Times New Roman" w:cs="Times New Roman"/>
          <w:sz w:val="22"/>
          <w:szCs w:val="22"/>
        </w:rPr>
        <w:fldChar w:fldCharType="begin"/>
      </w:r>
      <w:r w:rsidR="0014132F" w:rsidRPr="0096314F">
        <w:rPr>
          <w:rFonts w:ascii="Times New Roman" w:hAnsi="Times New Roman" w:cs="Times New Roman"/>
          <w:sz w:val="22"/>
          <w:szCs w:val="22"/>
        </w:rPr>
        <w:instrText xml:space="preserve"> NOTEREF _Ref525827178 \h </w:instrText>
      </w:r>
      <w:r w:rsidR="0096314F" w:rsidRPr="0096314F">
        <w:rPr>
          <w:rFonts w:ascii="Times New Roman" w:hAnsi="Times New Roman" w:cs="Times New Roman"/>
          <w:sz w:val="22"/>
          <w:szCs w:val="22"/>
        </w:rPr>
        <w:instrText xml:space="preserve"> \* MERGEFORMAT </w:instrText>
      </w:r>
      <w:r w:rsidR="0014132F" w:rsidRPr="0096314F">
        <w:rPr>
          <w:rFonts w:ascii="Times New Roman" w:hAnsi="Times New Roman" w:cs="Times New Roman"/>
          <w:sz w:val="22"/>
          <w:szCs w:val="22"/>
        </w:rPr>
      </w:r>
      <w:r w:rsidR="0014132F" w:rsidRPr="0096314F">
        <w:rPr>
          <w:rFonts w:ascii="Times New Roman" w:hAnsi="Times New Roman" w:cs="Times New Roman"/>
          <w:sz w:val="22"/>
          <w:szCs w:val="22"/>
        </w:rPr>
        <w:fldChar w:fldCharType="separate"/>
      </w:r>
      <w:r w:rsidR="0014132F" w:rsidRPr="0096314F">
        <w:rPr>
          <w:rFonts w:ascii="Times New Roman" w:hAnsi="Times New Roman" w:cs="Times New Roman"/>
          <w:sz w:val="22"/>
          <w:szCs w:val="22"/>
        </w:rPr>
        <w:t>57</w:t>
      </w:r>
      <w:r w:rsidR="0014132F" w:rsidRPr="0096314F">
        <w:rPr>
          <w:rFonts w:ascii="Times New Roman" w:hAnsi="Times New Roman" w:cs="Times New Roman"/>
          <w:sz w:val="22"/>
          <w:szCs w:val="22"/>
        </w:rPr>
        <w:fldChar w:fldCharType="end"/>
      </w:r>
      <w:r w:rsidR="0014132F" w:rsidRPr="0096314F">
        <w:rPr>
          <w:rFonts w:ascii="Times New Roman" w:hAnsi="Times New Roman" w:cs="Times New Roman"/>
          <w:sz w:val="22"/>
          <w:szCs w:val="22"/>
        </w:rPr>
        <w:t xml:space="preserve">) p. </w:t>
      </w:r>
      <w:r w:rsidR="009416BF" w:rsidRPr="0096314F">
        <w:rPr>
          <w:rFonts w:ascii="Times New Roman" w:hAnsi="Times New Roman" w:cs="Times New Roman"/>
          <w:sz w:val="22"/>
          <w:szCs w:val="22"/>
        </w:rPr>
        <w:t xml:space="preserve"> 29.</w:t>
      </w:r>
    </w:p>
  </w:footnote>
  <w:footnote w:id="61">
    <w:p w14:paraId="2EC4163A" w14:textId="26FCF81B" w:rsidR="00762FE5" w:rsidRPr="0096314F" w:rsidRDefault="00762FE5" w:rsidP="00C535F2">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0014132F" w:rsidRPr="0096314F">
        <w:rPr>
          <w:rFonts w:ascii="Times New Roman" w:hAnsi="Times New Roman" w:cs="Times New Roman"/>
          <w:i/>
          <w:sz w:val="22"/>
          <w:szCs w:val="22"/>
          <w:lang w:val="en-US"/>
        </w:rPr>
        <w:t xml:space="preserve">McCarthy Retail </w:t>
      </w:r>
      <w:r w:rsidR="0014132F" w:rsidRPr="0096314F">
        <w:rPr>
          <w:rFonts w:ascii="Times New Roman" w:hAnsi="Times New Roman" w:cs="Times New Roman"/>
          <w:sz w:val="22"/>
          <w:szCs w:val="22"/>
          <w:lang w:val="en-US"/>
        </w:rPr>
        <w:t>(</w:t>
      </w:r>
      <w:r w:rsidR="0014132F" w:rsidRPr="0096314F">
        <w:rPr>
          <w:rFonts w:ascii="Times New Roman" w:hAnsi="Times New Roman" w:cs="Times New Roman"/>
          <w:iCs/>
          <w:sz w:val="22"/>
          <w:szCs w:val="22"/>
        </w:rPr>
        <w:t xml:space="preserve">note </w:t>
      </w:r>
      <w:r w:rsidR="0014132F" w:rsidRPr="0096314F">
        <w:rPr>
          <w:rFonts w:ascii="Times New Roman" w:hAnsi="Times New Roman" w:cs="Times New Roman"/>
          <w:iCs/>
          <w:sz w:val="22"/>
          <w:szCs w:val="22"/>
        </w:rPr>
        <w:fldChar w:fldCharType="begin"/>
      </w:r>
      <w:r w:rsidR="0014132F" w:rsidRPr="0096314F">
        <w:rPr>
          <w:rFonts w:ascii="Times New Roman" w:hAnsi="Times New Roman" w:cs="Times New Roman"/>
          <w:iCs/>
          <w:sz w:val="22"/>
          <w:szCs w:val="22"/>
        </w:rPr>
        <w:instrText xml:space="preserve"> NOTEREF _Ref525825240 \h </w:instrText>
      </w:r>
      <w:r w:rsidR="0096314F" w:rsidRPr="0096314F">
        <w:rPr>
          <w:rFonts w:ascii="Times New Roman" w:hAnsi="Times New Roman" w:cs="Times New Roman"/>
          <w:iCs/>
          <w:sz w:val="22"/>
          <w:szCs w:val="22"/>
        </w:rPr>
        <w:instrText xml:space="preserve"> \* MERGEFORMAT </w:instrText>
      </w:r>
      <w:r w:rsidR="0014132F" w:rsidRPr="0096314F">
        <w:rPr>
          <w:rFonts w:ascii="Times New Roman" w:hAnsi="Times New Roman" w:cs="Times New Roman"/>
          <w:iCs/>
          <w:sz w:val="22"/>
          <w:szCs w:val="22"/>
        </w:rPr>
      </w:r>
      <w:r w:rsidR="0014132F" w:rsidRPr="0096314F">
        <w:rPr>
          <w:rFonts w:ascii="Times New Roman" w:hAnsi="Times New Roman" w:cs="Times New Roman"/>
          <w:iCs/>
          <w:sz w:val="22"/>
          <w:szCs w:val="22"/>
        </w:rPr>
        <w:fldChar w:fldCharType="separate"/>
      </w:r>
      <w:r w:rsidR="0014132F" w:rsidRPr="0096314F">
        <w:rPr>
          <w:rFonts w:ascii="Times New Roman" w:hAnsi="Times New Roman" w:cs="Times New Roman"/>
          <w:iCs/>
          <w:sz w:val="22"/>
          <w:szCs w:val="22"/>
        </w:rPr>
        <w:t>9</w:t>
      </w:r>
      <w:r w:rsidR="0014132F" w:rsidRPr="0096314F">
        <w:rPr>
          <w:rFonts w:ascii="Times New Roman" w:hAnsi="Times New Roman" w:cs="Times New Roman"/>
          <w:iCs/>
          <w:sz w:val="22"/>
          <w:szCs w:val="22"/>
        </w:rPr>
        <w:fldChar w:fldCharType="end"/>
      </w:r>
      <w:r w:rsidR="0014132F" w:rsidRPr="0096314F">
        <w:rPr>
          <w:rFonts w:ascii="Times New Roman" w:hAnsi="Times New Roman" w:cs="Times New Roman"/>
          <w:sz w:val="22"/>
          <w:szCs w:val="22"/>
          <w:lang w:val="en-US"/>
        </w:rPr>
        <w:t>) at [11] – [18] (Schutz JA)  [38] (Harms JA).</w:t>
      </w:r>
    </w:p>
  </w:footnote>
  <w:footnote w:id="62">
    <w:p w14:paraId="3395737B" w14:textId="51C6ED2A" w:rsidR="00762FE5" w:rsidRPr="0096314F" w:rsidRDefault="00762FE5" w:rsidP="00C535F2">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rPr>
        <w:t xml:space="preserve"> </w:t>
      </w:r>
      <w:r w:rsidR="0014132F" w:rsidRPr="0096314F">
        <w:rPr>
          <w:rFonts w:ascii="Times New Roman" w:hAnsi="Times New Roman" w:cs="Times New Roman"/>
          <w:sz w:val="22"/>
          <w:szCs w:val="22"/>
        </w:rPr>
        <w:t xml:space="preserve">Evans-Jones (note </w:t>
      </w:r>
      <w:r w:rsidR="0014132F" w:rsidRPr="0096314F">
        <w:rPr>
          <w:rFonts w:ascii="Times New Roman" w:hAnsi="Times New Roman" w:cs="Times New Roman"/>
          <w:sz w:val="22"/>
          <w:szCs w:val="22"/>
        </w:rPr>
        <w:fldChar w:fldCharType="begin"/>
      </w:r>
      <w:r w:rsidR="0014132F" w:rsidRPr="0096314F">
        <w:rPr>
          <w:rFonts w:ascii="Times New Roman" w:hAnsi="Times New Roman" w:cs="Times New Roman"/>
          <w:sz w:val="22"/>
          <w:szCs w:val="22"/>
        </w:rPr>
        <w:instrText xml:space="preserve"> NOTEREF _Ref525827178 \h </w:instrText>
      </w:r>
      <w:r w:rsidR="0096314F" w:rsidRPr="0096314F">
        <w:rPr>
          <w:rFonts w:ascii="Times New Roman" w:hAnsi="Times New Roman" w:cs="Times New Roman"/>
          <w:sz w:val="22"/>
          <w:szCs w:val="22"/>
        </w:rPr>
        <w:instrText xml:space="preserve"> \* MERGEFORMAT </w:instrText>
      </w:r>
      <w:r w:rsidR="0014132F" w:rsidRPr="0096314F">
        <w:rPr>
          <w:rFonts w:ascii="Times New Roman" w:hAnsi="Times New Roman" w:cs="Times New Roman"/>
          <w:sz w:val="22"/>
          <w:szCs w:val="22"/>
        </w:rPr>
      </w:r>
      <w:r w:rsidR="0014132F" w:rsidRPr="0096314F">
        <w:rPr>
          <w:rFonts w:ascii="Times New Roman" w:hAnsi="Times New Roman" w:cs="Times New Roman"/>
          <w:sz w:val="22"/>
          <w:szCs w:val="22"/>
        </w:rPr>
        <w:fldChar w:fldCharType="separate"/>
      </w:r>
      <w:r w:rsidR="0014132F" w:rsidRPr="0096314F">
        <w:rPr>
          <w:rFonts w:ascii="Times New Roman" w:hAnsi="Times New Roman" w:cs="Times New Roman"/>
          <w:sz w:val="22"/>
          <w:szCs w:val="22"/>
        </w:rPr>
        <w:t>57</w:t>
      </w:r>
      <w:r w:rsidR="0014132F" w:rsidRPr="0096314F">
        <w:rPr>
          <w:rFonts w:ascii="Times New Roman" w:hAnsi="Times New Roman" w:cs="Times New Roman"/>
          <w:sz w:val="22"/>
          <w:szCs w:val="22"/>
        </w:rPr>
        <w:fldChar w:fldCharType="end"/>
      </w:r>
      <w:r w:rsidR="0014132F" w:rsidRPr="0096314F">
        <w:rPr>
          <w:rFonts w:ascii="Times New Roman" w:hAnsi="Times New Roman" w:cs="Times New Roman"/>
          <w:sz w:val="22"/>
          <w:szCs w:val="22"/>
        </w:rPr>
        <w:t xml:space="preserve">) p. </w:t>
      </w:r>
      <w:r w:rsidR="009416BF" w:rsidRPr="0096314F">
        <w:rPr>
          <w:rFonts w:ascii="Times New Roman" w:hAnsi="Times New Roman" w:cs="Times New Roman"/>
          <w:sz w:val="22"/>
          <w:szCs w:val="22"/>
        </w:rPr>
        <w:t>30</w:t>
      </w:r>
      <w:r w:rsidR="0014132F" w:rsidRPr="0096314F">
        <w:rPr>
          <w:rFonts w:ascii="Times New Roman" w:hAnsi="Times New Roman" w:cs="Times New Roman"/>
          <w:sz w:val="22"/>
          <w:szCs w:val="22"/>
        </w:rPr>
        <w:t>.</w:t>
      </w:r>
    </w:p>
  </w:footnote>
  <w:footnote w:id="63">
    <w:p w14:paraId="077C094F" w14:textId="5785376D"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(note </w:t>
      </w:r>
      <w:r w:rsidR="0014132F" w:rsidRPr="0096314F">
        <w:rPr>
          <w:rFonts w:ascii="Times New Roman" w:hAnsi="Times New Roman" w:cs="Times New Roman"/>
          <w:sz w:val="22"/>
          <w:szCs w:val="22"/>
          <w:lang w:val="en-US"/>
        </w:rPr>
        <w:fldChar w:fldCharType="begin"/>
      </w:r>
      <w:r w:rsidR="0014132F"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0014132F" w:rsidRPr="0096314F">
        <w:rPr>
          <w:rFonts w:ascii="Times New Roman" w:hAnsi="Times New Roman" w:cs="Times New Roman"/>
          <w:sz w:val="22"/>
          <w:szCs w:val="22"/>
          <w:lang w:val="en-US"/>
        </w:rPr>
      </w:r>
      <w:r w:rsidR="0014132F" w:rsidRPr="0096314F">
        <w:rPr>
          <w:rFonts w:ascii="Times New Roman" w:hAnsi="Times New Roman" w:cs="Times New Roman"/>
          <w:sz w:val="22"/>
          <w:szCs w:val="22"/>
          <w:lang w:val="en-US"/>
        </w:rPr>
        <w:fldChar w:fldCharType="separate"/>
      </w:r>
      <w:r w:rsidR="0014132F" w:rsidRPr="0096314F">
        <w:rPr>
          <w:rFonts w:ascii="Times New Roman" w:hAnsi="Times New Roman" w:cs="Times New Roman"/>
          <w:sz w:val="22"/>
          <w:szCs w:val="22"/>
          <w:lang w:val="en-US"/>
        </w:rPr>
        <w:t>16</w:t>
      </w:r>
      <w:r w:rsidR="0014132F"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w:t>
      </w:r>
      <w:r w:rsidR="009416BF" w:rsidRPr="0096314F">
        <w:rPr>
          <w:rFonts w:ascii="Times New Roman" w:hAnsi="Times New Roman" w:cs="Times New Roman"/>
          <w:sz w:val="22"/>
          <w:szCs w:val="22"/>
          <w:lang w:val="en-US"/>
        </w:rPr>
        <w:t xml:space="preserve"> p.</w:t>
      </w:r>
      <w:r w:rsidRPr="0096314F">
        <w:rPr>
          <w:rFonts w:ascii="Times New Roman" w:hAnsi="Times New Roman" w:cs="Times New Roman"/>
          <w:sz w:val="22"/>
          <w:szCs w:val="22"/>
          <w:lang w:val="en-US"/>
        </w:rPr>
        <w:t xml:space="preserve"> 223.</w:t>
      </w:r>
    </w:p>
  </w:footnote>
  <w:footnote w:id="64">
    <w:p w14:paraId="3C7DC416" w14:textId="2CAC4244"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Du Plessis (</w:t>
      </w:r>
      <w:r w:rsidR="0014132F" w:rsidRPr="0096314F">
        <w:rPr>
          <w:rFonts w:ascii="Times New Roman" w:hAnsi="Times New Roman" w:cs="Times New Roman"/>
          <w:sz w:val="22"/>
          <w:szCs w:val="22"/>
          <w:lang w:val="en-US"/>
        </w:rPr>
        <w:t xml:space="preserve">note </w:t>
      </w:r>
      <w:r w:rsidR="0014132F" w:rsidRPr="0096314F">
        <w:rPr>
          <w:rFonts w:ascii="Times New Roman" w:hAnsi="Times New Roman" w:cs="Times New Roman"/>
          <w:sz w:val="22"/>
          <w:szCs w:val="22"/>
          <w:lang w:val="en-US"/>
        </w:rPr>
        <w:fldChar w:fldCharType="begin"/>
      </w:r>
      <w:r w:rsidR="0014132F"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0014132F" w:rsidRPr="0096314F">
        <w:rPr>
          <w:rFonts w:ascii="Times New Roman" w:hAnsi="Times New Roman" w:cs="Times New Roman"/>
          <w:sz w:val="22"/>
          <w:szCs w:val="22"/>
          <w:lang w:val="en-US"/>
        </w:rPr>
      </w:r>
      <w:r w:rsidR="0014132F" w:rsidRPr="0096314F">
        <w:rPr>
          <w:rFonts w:ascii="Times New Roman" w:hAnsi="Times New Roman" w:cs="Times New Roman"/>
          <w:sz w:val="22"/>
          <w:szCs w:val="22"/>
          <w:lang w:val="en-US"/>
        </w:rPr>
        <w:fldChar w:fldCharType="separate"/>
      </w:r>
      <w:r w:rsidR="0014132F" w:rsidRPr="0096314F">
        <w:rPr>
          <w:rFonts w:ascii="Times New Roman" w:hAnsi="Times New Roman" w:cs="Times New Roman"/>
          <w:sz w:val="22"/>
          <w:szCs w:val="22"/>
          <w:lang w:val="en-US"/>
        </w:rPr>
        <w:t>16</w:t>
      </w:r>
      <w:r w:rsidR="0014132F"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w:t>
      </w:r>
      <w:r w:rsidR="0014132F" w:rsidRPr="0096314F">
        <w:rPr>
          <w:rFonts w:ascii="Times New Roman" w:hAnsi="Times New Roman" w:cs="Times New Roman"/>
          <w:sz w:val="22"/>
          <w:szCs w:val="22"/>
          <w:lang w:val="en-US"/>
        </w:rPr>
        <w:t xml:space="preserve"> p.</w:t>
      </w:r>
      <w:r w:rsidRPr="0096314F">
        <w:rPr>
          <w:rFonts w:ascii="Times New Roman" w:hAnsi="Times New Roman" w:cs="Times New Roman"/>
          <w:sz w:val="22"/>
          <w:szCs w:val="22"/>
          <w:lang w:val="en-US"/>
        </w:rPr>
        <w:t xml:space="preserve"> 65.</w:t>
      </w:r>
    </w:p>
  </w:footnote>
  <w:footnote w:id="65">
    <w:p w14:paraId="3FD85629" w14:textId="7FB987FA"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0014132F" w:rsidRPr="0096314F">
        <w:rPr>
          <w:rFonts w:ascii="Times New Roman" w:hAnsi="Times New Roman" w:cs="Times New Roman"/>
          <w:sz w:val="22"/>
          <w:szCs w:val="22"/>
          <w:lang w:val="en-US"/>
        </w:rPr>
        <w:t xml:space="preserve"> L.</w:t>
      </w:r>
      <w:r w:rsidRPr="0096314F">
        <w:rPr>
          <w:rFonts w:ascii="Times New Roman" w:hAnsi="Times New Roman" w:cs="Times New Roman"/>
          <w:sz w:val="22"/>
          <w:szCs w:val="22"/>
          <w:lang w:val="en-US"/>
        </w:rPr>
        <w:t xml:space="preserve"> Smith ‘Defences and the Disunity of Unjust Enrichment’ A</w:t>
      </w:r>
      <w:r w:rsidR="0014132F" w:rsidRPr="0096314F">
        <w:rPr>
          <w:rFonts w:ascii="Times New Roman" w:hAnsi="Times New Roman" w:cs="Times New Roman"/>
          <w:sz w:val="22"/>
          <w:szCs w:val="22"/>
          <w:lang w:val="en-US"/>
        </w:rPr>
        <w:t>.</w:t>
      </w:r>
      <w:r w:rsidRPr="0096314F">
        <w:rPr>
          <w:rFonts w:ascii="Times New Roman" w:hAnsi="Times New Roman" w:cs="Times New Roman"/>
          <w:sz w:val="22"/>
          <w:szCs w:val="22"/>
          <w:lang w:val="en-US"/>
        </w:rPr>
        <w:t xml:space="preserve"> Dyson, J</w:t>
      </w:r>
      <w:r w:rsidR="0014132F" w:rsidRPr="0096314F">
        <w:rPr>
          <w:rFonts w:ascii="Times New Roman" w:hAnsi="Times New Roman" w:cs="Times New Roman"/>
          <w:sz w:val="22"/>
          <w:szCs w:val="22"/>
          <w:lang w:val="en-US"/>
        </w:rPr>
        <w:t>.</w:t>
      </w:r>
      <w:r w:rsidRPr="0096314F">
        <w:rPr>
          <w:rFonts w:ascii="Times New Roman" w:hAnsi="Times New Roman" w:cs="Times New Roman"/>
          <w:sz w:val="22"/>
          <w:szCs w:val="22"/>
          <w:lang w:val="en-US"/>
        </w:rPr>
        <w:t xml:space="preserve"> Goudkamp and  F</w:t>
      </w:r>
      <w:r w:rsidR="0014132F" w:rsidRPr="0096314F">
        <w:rPr>
          <w:rFonts w:ascii="Times New Roman" w:hAnsi="Times New Roman" w:cs="Times New Roman"/>
          <w:sz w:val="22"/>
          <w:szCs w:val="22"/>
          <w:lang w:val="en-US"/>
        </w:rPr>
        <w:t>.</w:t>
      </w:r>
      <w:r w:rsidRPr="0096314F">
        <w:rPr>
          <w:rFonts w:ascii="Times New Roman" w:hAnsi="Times New Roman" w:cs="Times New Roman"/>
          <w:sz w:val="22"/>
          <w:szCs w:val="22"/>
          <w:lang w:val="en-US"/>
        </w:rPr>
        <w:t xml:space="preserve">Wilmot-Smith </w:t>
      </w:r>
      <w:r w:rsidR="0014132F" w:rsidRPr="0096314F">
        <w:rPr>
          <w:rFonts w:ascii="Times New Roman" w:hAnsi="Times New Roman" w:cs="Times New Roman"/>
          <w:sz w:val="22"/>
          <w:szCs w:val="22"/>
          <w:lang w:val="en-US"/>
        </w:rPr>
        <w:t>(</w:t>
      </w:r>
      <w:r w:rsidRPr="0096314F">
        <w:rPr>
          <w:rFonts w:ascii="Times New Roman" w:hAnsi="Times New Roman" w:cs="Times New Roman"/>
          <w:sz w:val="22"/>
          <w:szCs w:val="22"/>
          <w:lang w:val="en-US"/>
        </w:rPr>
        <w:t>eds</w:t>
      </w:r>
      <w:r w:rsidR="0014132F" w:rsidRPr="0096314F">
        <w:rPr>
          <w:rFonts w:ascii="Times New Roman" w:hAnsi="Times New Roman" w:cs="Times New Roman"/>
          <w:sz w:val="22"/>
          <w:szCs w:val="22"/>
          <w:lang w:val="en-US"/>
        </w:rPr>
        <w:t>)</w:t>
      </w:r>
      <w:r w:rsidRPr="0096314F">
        <w:rPr>
          <w:rFonts w:ascii="Times New Roman" w:hAnsi="Times New Roman" w:cs="Times New Roman"/>
          <w:sz w:val="22"/>
          <w:szCs w:val="22"/>
          <w:lang w:val="en-US"/>
        </w:rPr>
        <w:t xml:space="preserve"> </w:t>
      </w:r>
      <w:r w:rsidRPr="0096314F">
        <w:rPr>
          <w:rFonts w:ascii="Times New Roman" w:hAnsi="Times New Roman" w:cs="Times New Roman"/>
          <w:i/>
          <w:sz w:val="22"/>
          <w:szCs w:val="22"/>
          <w:lang w:val="en-US"/>
        </w:rPr>
        <w:t xml:space="preserve">Defences in Unjust Enrichment </w:t>
      </w:r>
      <w:r w:rsidR="009416BF" w:rsidRPr="0096314F">
        <w:rPr>
          <w:rFonts w:ascii="Times New Roman" w:hAnsi="Times New Roman" w:cs="Times New Roman"/>
          <w:sz w:val="22"/>
          <w:szCs w:val="22"/>
          <w:lang w:val="en-US"/>
        </w:rPr>
        <w:t xml:space="preserve">(2016) </w:t>
      </w:r>
      <w:r w:rsidRPr="0096314F">
        <w:rPr>
          <w:rFonts w:ascii="Times New Roman" w:hAnsi="Times New Roman" w:cs="Times New Roman"/>
          <w:sz w:val="22"/>
          <w:szCs w:val="22"/>
          <w:lang w:val="en-US"/>
        </w:rPr>
        <w:t>39.</w:t>
      </w:r>
    </w:p>
  </w:footnote>
  <w:footnote w:id="66">
    <w:p w14:paraId="696E3863" w14:textId="77777777"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Ibid.</w:t>
      </w:r>
    </w:p>
  </w:footnote>
  <w:footnote w:id="67">
    <w:p w14:paraId="44761178" w14:textId="022AADC0" w:rsidR="00762FE5" w:rsidRPr="0096314F" w:rsidRDefault="00762FE5" w:rsidP="00C535F2">
      <w:pPr>
        <w:pStyle w:val="FootnoteText"/>
        <w:rPr>
          <w:rFonts w:ascii="Times New Roman" w:hAnsi="Times New Roman" w:cs="Times New Roman"/>
          <w:sz w:val="22"/>
          <w:szCs w:val="22"/>
        </w:rPr>
      </w:pPr>
      <w:r w:rsidRPr="0096314F">
        <w:rPr>
          <w:rStyle w:val="FootnoteReference"/>
          <w:rFonts w:ascii="Times New Roman" w:hAnsi="Times New Roman" w:cs="Times New Roman"/>
          <w:sz w:val="22"/>
          <w:szCs w:val="22"/>
        </w:rPr>
        <w:footnoteRef/>
      </w:r>
      <w:r w:rsidR="0014132F" w:rsidRPr="0096314F">
        <w:rPr>
          <w:rFonts w:ascii="Times New Roman" w:hAnsi="Times New Roman" w:cs="Times New Roman"/>
          <w:sz w:val="22"/>
          <w:szCs w:val="22"/>
          <w:lang w:val="en-US"/>
        </w:rPr>
        <w:t xml:space="preserve"> N.</w:t>
      </w:r>
      <w:r w:rsidRPr="0096314F">
        <w:rPr>
          <w:rFonts w:ascii="Times New Roman" w:hAnsi="Times New Roman" w:cs="Times New Roman"/>
          <w:sz w:val="22"/>
          <w:szCs w:val="22"/>
          <w:lang w:val="en-US"/>
        </w:rPr>
        <w:t xml:space="preserve"> Jansen ‘Farewell to Unjustified Enrichment?’ (2016) </w:t>
      </w:r>
      <w:r w:rsidRPr="0096314F">
        <w:rPr>
          <w:rFonts w:ascii="Times New Roman" w:hAnsi="Times New Roman" w:cs="Times New Roman"/>
          <w:i/>
          <w:sz w:val="22"/>
          <w:szCs w:val="22"/>
          <w:lang w:val="en-US"/>
        </w:rPr>
        <w:t>Edin LR</w:t>
      </w:r>
      <w:r w:rsidRPr="0096314F">
        <w:rPr>
          <w:rFonts w:ascii="Times New Roman" w:hAnsi="Times New Roman" w:cs="Times New Roman"/>
          <w:sz w:val="22"/>
          <w:szCs w:val="22"/>
          <w:lang w:val="en-US"/>
        </w:rPr>
        <w:t xml:space="preserve"> 20 (2) 123</w:t>
      </w:r>
    </w:p>
  </w:footnote>
  <w:footnote w:id="68">
    <w:p w14:paraId="00890AD4" w14:textId="77777777"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1994 (3) SA 283.</w:t>
      </w:r>
    </w:p>
  </w:footnote>
  <w:footnote w:id="69">
    <w:p w14:paraId="24711F83" w14:textId="595E180A"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w:t>
      </w:r>
      <w:r w:rsidRPr="0096314F">
        <w:rPr>
          <w:rFonts w:ascii="Times New Roman" w:hAnsi="Times New Roman" w:cs="Times New Roman"/>
          <w:i/>
          <w:sz w:val="22"/>
          <w:szCs w:val="22"/>
          <w:lang w:val="en-US"/>
        </w:rPr>
        <w:t>Willers</w:t>
      </w:r>
      <w:r w:rsidRPr="0096314F">
        <w:rPr>
          <w:rFonts w:ascii="Times New Roman" w:hAnsi="Times New Roman" w:cs="Times New Roman"/>
          <w:sz w:val="22"/>
          <w:szCs w:val="22"/>
          <w:lang w:val="en-US"/>
        </w:rPr>
        <w:t xml:space="preserve"> (note </w:t>
      </w:r>
      <w:r w:rsidRPr="0096314F">
        <w:rPr>
          <w:rFonts w:ascii="Times New Roman" w:hAnsi="Times New Roman" w:cs="Times New Roman"/>
          <w:sz w:val="22"/>
          <w:szCs w:val="22"/>
          <w:lang w:val="en-US"/>
        </w:rPr>
        <w:fldChar w:fldCharType="begin"/>
      </w:r>
      <w:r w:rsidRPr="0096314F">
        <w:rPr>
          <w:rFonts w:ascii="Times New Roman" w:hAnsi="Times New Roman" w:cs="Times New Roman"/>
          <w:sz w:val="22"/>
          <w:szCs w:val="22"/>
          <w:lang w:val="en-US"/>
        </w:rPr>
        <w:instrText xml:space="preserve"> NOTEREF _Ref506472963 \h  \* MERGEFORMAT </w:instrText>
      </w:r>
      <w:r w:rsidRPr="0096314F">
        <w:rPr>
          <w:rFonts w:ascii="Times New Roman" w:hAnsi="Times New Roman" w:cs="Times New Roman"/>
          <w:sz w:val="22"/>
          <w:szCs w:val="22"/>
          <w:lang w:val="en-US"/>
        </w:rPr>
      </w:r>
      <w:r w:rsidRPr="0096314F">
        <w:rPr>
          <w:rFonts w:ascii="Times New Roman" w:hAnsi="Times New Roman" w:cs="Times New Roman"/>
          <w:sz w:val="22"/>
          <w:szCs w:val="22"/>
          <w:lang w:val="en-US"/>
        </w:rPr>
        <w:fldChar w:fldCharType="separate"/>
      </w:r>
      <w:r w:rsidRPr="0096314F">
        <w:rPr>
          <w:rFonts w:ascii="Times New Roman" w:hAnsi="Times New Roman" w:cs="Times New Roman"/>
          <w:sz w:val="22"/>
          <w:szCs w:val="22"/>
          <w:lang w:val="en-US"/>
        </w:rPr>
        <w:t>10</w:t>
      </w:r>
      <w:r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w:t>
      </w:r>
      <w:r w:rsidR="0014132F" w:rsidRPr="0096314F">
        <w:rPr>
          <w:rFonts w:ascii="Times New Roman" w:hAnsi="Times New Roman" w:cs="Times New Roman"/>
          <w:sz w:val="22"/>
          <w:szCs w:val="22"/>
          <w:lang w:val="en-US"/>
        </w:rPr>
        <w:t xml:space="preserve">at </w:t>
      </w:r>
      <w:r w:rsidRPr="0096314F">
        <w:rPr>
          <w:rFonts w:ascii="Times New Roman" w:hAnsi="Times New Roman" w:cs="Times New Roman"/>
          <w:sz w:val="22"/>
          <w:szCs w:val="22"/>
          <w:lang w:val="en-US"/>
        </w:rPr>
        <w:t xml:space="preserve">333; Visser </w:t>
      </w:r>
      <w:r w:rsidR="009416BF" w:rsidRPr="0096314F">
        <w:rPr>
          <w:rFonts w:ascii="Times New Roman" w:hAnsi="Times New Roman" w:cs="Times New Roman"/>
          <w:sz w:val="22"/>
          <w:szCs w:val="22"/>
          <w:lang w:val="en-US"/>
        </w:rPr>
        <w:t xml:space="preserve">note </w:t>
      </w:r>
      <w:r w:rsidR="009416BF" w:rsidRPr="0096314F">
        <w:rPr>
          <w:rFonts w:ascii="Times New Roman" w:hAnsi="Times New Roman" w:cs="Times New Roman"/>
          <w:sz w:val="22"/>
          <w:szCs w:val="22"/>
          <w:lang w:val="en-US"/>
        </w:rPr>
        <w:fldChar w:fldCharType="begin"/>
      </w:r>
      <w:r w:rsidR="009416BF"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009416BF" w:rsidRPr="0096314F">
        <w:rPr>
          <w:rFonts w:ascii="Times New Roman" w:hAnsi="Times New Roman" w:cs="Times New Roman"/>
          <w:sz w:val="22"/>
          <w:szCs w:val="22"/>
          <w:lang w:val="en-US"/>
        </w:rPr>
      </w:r>
      <w:r w:rsidR="009416BF" w:rsidRPr="0096314F">
        <w:rPr>
          <w:rFonts w:ascii="Times New Roman" w:hAnsi="Times New Roman" w:cs="Times New Roman"/>
          <w:sz w:val="22"/>
          <w:szCs w:val="22"/>
          <w:lang w:val="en-US"/>
        </w:rPr>
        <w:fldChar w:fldCharType="separate"/>
      </w:r>
      <w:r w:rsidR="009416BF" w:rsidRPr="0096314F">
        <w:rPr>
          <w:rFonts w:ascii="Times New Roman" w:hAnsi="Times New Roman" w:cs="Times New Roman"/>
          <w:sz w:val="22"/>
          <w:szCs w:val="22"/>
          <w:lang w:val="en-US"/>
        </w:rPr>
        <w:t>16</w:t>
      </w:r>
      <w:r w:rsidR="009416BF"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w:t>
      </w:r>
      <w:r w:rsidR="009416BF" w:rsidRPr="0096314F">
        <w:rPr>
          <w:rFonts w:ascii="Times New Roman" w:hAnsi="Times New Roman" w:cs="Times New Roman"/>
          <w:sz w:val="22"/>
          <w:szCs w:val="22"/>
          <w:lang w:val="en-US"/>
        </w:rPr>
        <w:t xml:space="preserve">p. </w:t>
      </w:r>
      <w:r w:rsidRPr="0096314F">
        <w:rPr>
          <w:rFonts w:ascii="Times New Roman" w:hAnsi="Times New Roman" w:cs="Times New Roman"/>
          <w:sz w:val="22"/>
          <w:szCs w:val="22"/>
          <w:lang w:val="en-US"/>
        </w:rPr>
        <w:t>51; Du Plessis (</w:t>
      </w:r>
      <w:r w:rsidR="0014132F" w:rsidRPr="0096314F">
        <w:rPr>
          <w:rFonts w:ascii="Times New Roman" w:hAnsi="Times New Roman" w:cs="Times New Roman"/>
          <w:sz w:val="22"/>
          <w:szCs w:val="22"/>
          <w:lang w:val="en-US"/>
        </w:rPr>
        <w:t xml:space="preserve">note </w:t>
      </w:r>
      <w:r w:rsidR="0014132F" w:rsidRPr="0096314F">
        <w:rPr>
          <w:rFonts w:ascii="Times New Roman" w:hAnsi="Times New Roman" w:cs="Times New Roman"/>
          <w:sz w:val="22"/>
          <w:szCs w:val="22"/>
          <w:lang w:val="en-US"/>
        </w:rPr>
        <w:fldChar w:fldCharType="begin"/>
      </w:r>
      <w:r w:rsidR="0014132F"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0014132F" w:rsidRPr="0096314F">
        <w:rPr>
          <w:rFonts w:ascii="Times New Roman" w:hAnsi="Times New Roman" w:cs="Times New Roman"/>
          <w:sz w:val="22"/>
          <w:szCs w:val="22"/>
          <w:lang w:val="en-US"/>
        </w:rPr>
      </w:r>
      <w:r w:rsidR="0014132F" w:rsidRPr="0096314F">
        <w:rPr>
          <w:rFonts w:ascii="Times New Roman" w:hAnsi="Times New Roman" w:cs="Times New Roman"/>
          <w:sz w:val="22"/>
          <w:szCs w:val="22"/>
          <w:lang w:val="en-US"/>
        </w:rPr>
        <w:fldChar w:fldCharType="separate"/>
      </w:r>
      <w:r w:rsidR="0014132F" w:rsidRPr="0096314F">
        <w:rPr>
          <w:rFonts w:ascii="Times New Roman" w:hAnsi="Times New Roman" w:cs="Times New Roman"/>
          <w:sz w:val="22"/>
          <w:szCs w:val="22"/>
          <w:lang w:val="en-US"/>
        </w:rPr>
        <w:t>16</w:t>
      </w:r>
      <w:r w:rsidR="0014132F"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w:t>
      </w:r>
      <w:r w:rsidR="0014132F" w:rsidRPr="0096314F">
        <w:rPr>
          <w:rFonts w:ascii="Times New Roman" w:hAnsi="Times New Roman" w:cs="Times New Roman"/>
          <w:sz w:val="22"/>
          <w:szCs w:val="22"/>
          <w:lang w:val="en-US"/>
        </w:rPr>
        <w:t xml:space="preserve">p. </w:t>
      </w:r>
      <w:r w:rsidRPr="0096314F">
        <w:rPr>
          <w:rFonts w:ascii="Times New Roman" w:hAnsi="Times New Roman" w:cs="Times New Roman"/>
          <w:sz w:val="22"/>
          <w:szCs w:val="22"/>
          <w:lang w:val="en-US"/>
        </w:rPr>
        <w:t>5.</w:t>
      </w:r>
    </w:p>
  </w:footnote>
  <w:footnote w:id="70">
    <w:p w14:paraId="22D2BCC9" w14:textId="09CD3045"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w:t>
      </w:r>
      <w:r w:rsidRPr="0096314F">
        <w:rPr>
          <w:rFonts w:ascii="Times New Roman" w:hAnsi="Times New Roman" w:cs="Times New Roman"/>
          <w:i/>
          <w:sz w:val="22"/>
          <w:szCs w:val="22"/>
          <w:lang w:val="en-US"/>
        </w:rPr>
        <w:t xml:space="preserve">McCarthy Retail </w:t>
      </w:r>
      <w:r w:rsidRPr="0096314F">
        <w:rPr>
          <w:rFonts w:ascii="Times New Roman" w:hAnsi="Times New Roman" w:cs="Times New Roman"/>
          <w:sz w:val="22"/>
          <w:szCs w:val="22"/>
          <w:lang w:val="en-US"/>
        </w:rPr>
        <w:t>(</w:t>
      </w:r>
      <w:r w:rsidR="0014132F" w:rsidRPr="0096314F">
        <w:rPr>
          <w:rFonts w:ascii="Times New Roman" w:hAnsi="Times New Roman" w:cs="Times New Roman"/>
          <w:iCs/>
          <w:sz w:val="22"/>
          <w:szCs w:val="22"/>
        </w:rPr>
        <w:t xml:space="preserve">note </w:t>
      </w:r>
      <w:r w:rsidR="0014132F" w:rsidRPr="0096314F">
        <w:rPr>
          <w:rFonts w:ascii="Times New Roman" w:hAnsi="Times New Roman" w:cs="Times New Roman"/>
          <w:iCs/>
          <w:sz w:val="22"/>
          <w:szCs w:val="22"/>
        </w:rPr>
        <w:fldChar w:fldCharType="begin"/>
      </w:r>
      <w:r w:rsidR="0014132F" w:rsidRPr="0096314F">
        <w:rPr>
          <w:rFonts w:ascii="Times New Roman" w:hAnsi="Times New Roman" w:cs="Times New Roman"/>
          <w:iCs/>
          <w:sz w:val="22"/>
          <w:szCs w:val="22"/>
        </w:rPr>
        <w:instrText xml:space="preserve"> NOTEREF _Ref525825240 \h </w:instrText>
      </w:r>
      <w:r w:rsidR="0096314F" w:rsidRPr="0096314F">
        <w:rPr>
          <w:rFonts w:ascii="Times New Roman" w:hAnsi="Times New Roman" w:cs="Times New Roman"/>
          <w:iCs/>
          <w:sz w:val="22"/>
          <w:szCs w:val="22"/>
        </w:rPr>
        <w:instrText xml:space="preserve"> \* MERGEFORMAT </w:instrText>
      </w:r>
      <w:r w:rsidR="0014132F" w:rsidRPr="0096314F">
        <w:rPr>
          <w:rFonts w:ascii="Times New Roman" w:hAnsi="Times New Roman" w:cs="Times New Roman"/>
          <w:iCs/>
          <w:sz w:val="22"/>
          <w:szCs w:val="22"/>
        </w:rPr>
      </w:r>
      <w:r w:rsidR="0014132F" w:rsidRPr="0096314F">
        <w:rPr>
          <w:rFonts w:ascii="Times New Roman" w:hAnsi="Times New Roman" w:cs="Times New Roman"/>
          <w:iCs/>
          <w:sz w:val="22"/>
          <w:szCs w:val="22"/>
        </w:rPr>
        <w:fldChar w:fldCharType="separate"/>
      </w:r>
      <w:r w:rsidR="0014132F" w:rsidRPr="0096314F">
        <w:rPr>
          <w:rFonts w:ascii="Times New Roman" w:hAnsi="Times New Roman" w:cs="Times New Roman"/>
          <w:iCs/>
          <w:sz w:val="22"/>
          <w:szCs w:val="22"/>
        </w:rPr>
        <w:t>9</w:t>
      </w:r>
      <w:r w:rsidR="0014132F" w:rsidRPr="0096314F">
        <w:rPr>
          <w:rFonts w:ascii="Times New Roman" w:hAnsi="Times New Roman" w:cs="Times New Roman"/>
          <w:iCs/>
          <w:sz w:val="22"/>
          <w:szCs w:val="22"/>
        </w:rPr>
        <w:fldChar w:fldCharType="end"/>
      </w:r>
      <w:r w:rsidRPr="0096314F">
        <w:rPr>
          <w:rFonts w:ascii="Times New Roman" w:hAnsi="Times New Roman" w:cs="Times New Roman"/>
          <w:sz w:val="22"/>
          <w:szCs w:val="22"/>
          <w:lang w:val="en-US"/>
        </w:rPr>
        <w:t xml:space="preserve">) </w:t>
      </w:r>
      <w:r w:rsidR="0014132F" w:rsidRPr="0096314F">
        <w:rPr>
          <w:rFonts w:ascii="Times New Roman" w:hAnsi="Times New Roman" w:cs="Times New Roman"/>
          <w:sz w:val="22"/>
          <w:szCs w:val="22"/>
          <w:lang w:val="en-US"/>
        </w:rPr>
        <w:t xml:space="preserve">at </w:t>
      </w:r>
      <w:r w:rsidRPr="0096314F">
        <w:rPr>
          <w:rFonts w:ascii="Times New Roman" w:hAnsi="Times New Roman" w:cs="Times New Roman"/>
          <w:sz w:val="22"/>
          <w:szCs w:val="22"/>
          <w:lang w:val="en-US"/>
        </w:rPr>
        <w:t>[8].</w:t>
      </w:r>
    </w:p>
  </w:footnote>
  <w:footnote w:id="71">
    <w:p w14:paraId="09A121FC" w14:textId="1FC18B7A"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Visser (</w:t>
      </w:r>
      <w:r w:rsidR="0014132F" w:rsidRPr="0096314F">
        <w:rPr>
          <w:rFonts w:ascii="Times New Roman" w:hAnsi="Times New Roman" w:cs="Times New Roman"/>
          <w:sz w:val="22"/>
          <w:szCs w:val="22"/>
          <w:lang w:val="en-US"/>
        </w:rPr>
        <w:t xml:space="preserve">note </w:t>
      </w:r>
      <w:r w:rsidR="0014132F" w:rsidRPr="0096314F">
        <w:rPr>
          <w:rFonts w:ascii="Times New Roman" w:hAnsi="Times New Roman" w:cs="Times New Roman"/>
          <w:sz w:val="22"/>
          <w:szCs w:val="22"/>
          <w:lang w:val="en-US"/>
        </w:rPr>
        <w:fldChar w:fldCharType="begin"/>
      </w:r>
      <w:r w:rsidR="0014132F" w:rsidRPr="0096314F">
        <w:rPr>
          <w:rFonts w:ascii="Times New Roman" w:hAnsi="Times New Roman" w:cs="Times New Roman"/>
          <w:sz w:val="22"/>
          <w:szCs w:val="22"/>
          <w:lang w:val="en-US"/>
        </w:rPr>
        <w:instrText xml:space="preserve"> NOTEREF _Ref525825120 \h </w:instrText>
      </w:r>
      <w:r w:rsidR="0096314F" w:rsidRPr="0096314F">
        <w:rPr>
          <w:rFonts w:ascii="Times New Roman" w:hAnsi="Times New Roman" w:cs="Times New Roman"/>
          <w:sz w:val="22"/>
          <w:szCs w:val="22"/>
          <w:lang w:val="en-US"/>
        </w:rPr>
        <w:instrText xml:space="preserve"> \* MERGEFORMAT </w:instrText>
      </w:r>
      <w:r w:rsidR="0014132F" w:rsidRPr="0096314F">
        <w:rPr>
          <w:rFonts w:ascii="Times New Roman" w:hAnsi="Times New Roman" w:cs="Times New Roman"/>
          <w:sz w:val="22"/>
          <w:szCs w:val="22"/>
          <w:lang w:val="en-US"/>
        </w:rPr>
      </w:r>
      <w:r w:rsidR="0014132F" w:rsidRPr="0096314F">
        <w:rPr>
          <w:rFonts w:ascii="Times New Roman" w:hAnsi="Times New Roman" w:cs="Times New Roman"/>
          <w:sz w:val="22"/>
          <w:szCs w:val="22"/>
          <w:lang w:val="en-US"/>
        </w:rPr>
        <w:fldChar w:fldCharType="separate"/>
      </w:r>
      <w:r w:rsidR="0014132F" w:rsidRPr="0096314F">
        <w:rPr>
          <w:rFonts w:ascii="Times New Roman" w:hAnsi="Times New Roman" w:cs="Times New Roman"/>
          <w:sz w:val="22"/>
          <w:szCs w:val="22"/>
          <w:lang w:val="en-US"/>
        </w:rPr>
        <w:t>16</w:t>
      </w:r>
      <w:r w:rsidR="0014132F" w:rsidRPr="0096314F">
        <w:rPr>
          <w:rFonts w:ascii="Times New Roman" w:hAnsi="Times New Roman" w:cs="Times New Roman"/>
          <w:sz w:val="22"/>
          <w:szCs w:val="22"/>
          <w:lang w:val="en-US"/>
        </w:rPr>
        <w:fldChar w:fldCharType="end"/>
      </w:r>
      <w:r w:rsidRPr="0096314F">
        <w:rPr>
          <w:rFonts w:ascii="Times New Roman" w:hAnsi="Times New Roman" w:cs="Times New Roman"/>
          <w:sz w:val="22"/>
          <w:szCs w:val="22"/>
          <w:lang w:val="en-US"/>
        </w:rPr>
        <w:t xml:space="preserve">) </w:t>
      </w:r>
      <w:r w:rsidR="0014132F" w:rsidRPr="0096314F">
        <w:rPr>
          <w:rFonts w:ascii="Times New Roman" w:hAnsi="Times New Roman" w:cs="Times New Roman"/>
          <w:sz w:val="22"/>
          <w:szCs w:val="22"/>
          <w:lang w:val="en-US"/>
        </w:rPr>
        <w:t xml:space="preserve">p. </w:t>
      </w:r>
      <w:r w:rsidRPr="0096314F">
        <w:rPr>
          <w:rFonts w:ascii="Times New Roman" w:hAnsi="Times New Roman" w:cs="Times New Roman"/>
          <w:sz w:val="22"/>
          <w:szCs w:val="22"/>
          <w:lang w:val="en-US"/>
        </w:rPr>
        <w:t>53.</w:t>
      </w:r>
    </w:p>
  </w:footnote>
  <w:footnote w:id="72">
    <w:p w14:paraId="05A169CC" w14:textId="77777777"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Ibid.</w:t>
      </w:r>
    </w:p>
  </w:footnote>
  <w:footnote w:id="73">
    <w:p w14:paraId="1C647D82" w14:textId="77777777" w:rsidR="00762FE5" w:rsidRPr="0096314F" w:rsidRDefault="00762FE5" w:rsidP="00C535F2">
      <w:pPr>
        <w:pStyle w:val="FootnoteText"/>
        <w:rPr>
          <w:rFonts w:ascii="Times New Roman" w:hAnsi="Times New Roman" w:cs="Times New Roman"/>
          <w:sz w:val="22"/>
          <w:szCs w:val="22"/>
          <w:lang w:val="en-US"/>
        </w:rPr>
      </w:pPr>
      <w:r w:rsidRPr="0096314F">
        <w:rPr>
          <w:rStyle w:val="FootnoteReference"/>
          <w:rFonts w:ascii="Times New Roman" w:hAnsi="Times New Roman" w:cs="Times New Roman"/>
          <w:sz w:val="22"/>
          <w:szCs w:val="22"/>
        </w:rPr>
        <w:footnoteRef/>
      </w:r>
      <w:r w:rsidRPr="0096314F">
        <w:rPr>
          <w:rFonts w:ascii="Times New Roman" w:hAnsi="Times New Roman" w:cs="Times New Roman"/>
          <w:sz w:val="22"/>
          <w:szCs w:val="22"/>
          <w:lang w:val="en-US"/>
        </w:rPr>
        <w:t xml:space="preserve"> </w:t>
      </w:r>
      <w:r w:rsidRPr="0096314F">
        <w:rPr>
          <w:rFonts w:ascii="Times New Roman" w:hAnsi="Times New Roman" w:cs="Times New Roman"/>
          <w:i/>
          <w:sz w:val="22"/>
          <w:szCs w:val="22"/>
          <w:lang w:val="en-US"/>
        </w:rPr>
        <w:t>The Commissioners for Her Majesty's Revenue and Customs v The Investment Trust Companies (in liquidation)</w:t>
      </w:r>
      <w:r w:rsidRPr="0096314F">
        <w:rPr>
          <w:rFonts w:ascii="Times New Roman" w:hAnsi="Times New Roman" w:cs="Times New Roman"/>
          <w:sz w:val="22"/>
          <w:szCs w:val="22"/>
          <w:lang w:val="en-US"/>
        </w:rPr>
        <w:t xml:space="preserve"> [2017] UKSC 29 at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90D5" w14:textId="77777777" w:rsidR="00762FE5" w:rsidRDefault="00762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374F"/>
    <w:multiLevelType w:val="hybridMultilevel"/>
    <w:tmpl w:val="8A7ADB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D80825"/>
    <w:multiLevelType w:val="hybridMultilevel"/>
    <w:tmpl w:val="2F763AEA"/>
    <w:lvl w:ilvl="0" w:tplc="117C4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61CFE"/>
    <w:multiLevelType w:val="hybridMultilevel"/>
    <w:tmpl w:val="015A50A2"/>
    <w:lvl w:ilvl="0" w:tplc="B54464DC">
      <w:start w:val="1"/>
      <w:numFmt w:val="decimal"/>
      <w:lvlText w:val="(%1)"/>
      <w:lvlJc w:val="left"/>
      <w:pPr>
        <w:ind w:left="502" w:hanging="360"/>
      </w:pPr>
      <w:rPr>
        <w:rFonts w:ascii="Times New Roman" w:eastAsiaTheme="minorHAnsi" w:hAnsi="Times New Roman" w:cs="Times New Roman"/>
        <w:i w:val="0"/>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8C"/>
    <w:rsid w:val="000008E6"/>
    <w:rsid w:val="00001EAF"/>
    <w:rsid w:val="00003601"/>
    <w:rsid w:val="00006DA1"/>
    <w:rsid w:val="000118BC"/>
    <w:rsid w:val="000139CF"/>
    <w:rsid w:val="00016D08"/>
    <w:rsid w:val="00016FAC"/>
    <w:rsid w:val="0002031D"/>
    <w:rsid w:val="000204B4"/>
    <w:rsid w:val="00032724"/>
    <w:rsid w:val="00036517"/>
    <w:rsid w:val="00040EEA"/>
    <w:rsid w:val="00042AA8"/>
    <w:rsid w:val="000470BF"/>
    <w:rsid w:val="00050F3C"/>
    <w:rsid w:val="00054D96"/>
    <w:rsid w:val="00060812"/>
    <w:rsid w:val="00062BEB"/>
    <w:rsid w:val="00070B4E"/>
    <w:rsid w:val="000746BB"/>
    <w:rsid w:val="00081E22"/>
    <w:rsid w:val="00085733"/>
    <w:rsid w:val="00085BFA"/>
    <w:rsid w:val="00094B74"/>
    <w:rsid w:val="000974FA"/>
    <w:rsid w:val="000A1068"/>
    <w:rsid w:val="000A23DA"/>
    <w:rsid w:val="000A42CF"/>
    <w:rsid w:val="000A6784"/>
    <w:rsid w:val="000B6E8B"/>
    <w:rsid w:val="000C339D"/>
    <w:rsid w:val="000C3F84"/>
    <w:rsid w:val="000C4B26"/>
    <w:rsid w:val="000D37F9"/>
    <w:rsid w:val="000F7C6A"/>
    <w:rsid w:val="001069EF"/>
    <w:rsid w:val="0010759A"/>
    <w:rsid w:val="00111165"/>
    <w:rsid w:val="00116ACF"/>
    <w:rsid w:val="001236B0"/>
    <w:rsid w:val="00127001"/>
    <w:rsid w:val="00132602"/>
    <w:rsid w:val="0014132F"/>
    <w:rsid w:val="00152BA4"/>
    <w:rsid w:val="001575FD"/>
    <w:rsid w:val="00157D7B"/>
    <w:rsid w:val="00161369"/>
    <w:rsid w:val="00163848"/>
    <w:rsid w:val="0017061E"/>
    <w:rsid w:val="00171684"/>
    <w:rsid w:val="00183AAD"/>
    <w:rsid w:val="0018421B"/>
    <w:rsid w:val="00186C5A"/>
    <w:rsid w:val="0018753C"/>
    <w:rsid w:val="0019034E"/>
    <w:rsid w:val="001924A5"/>
    <w:rsid w:val="00195AE3"/>
    <w:rsid w:val="0019687C"/>
    <w:rsid w:val="001A2ED1"/>
    <w:rsid w:val="001B2346"/>
    <w:rsid w:val="001B39D3"/>
    <w:rsid w:val="001B5228"/>
    <w:rsid w:val="001B7110"/>
    <w:rsid w:val="001C193C"/>
    <w:rsid w:val="001C1F15"/>
    <w:rsid w:val="001C69F0"/>
    <w:rsid w:val="001C733E"/>
    <w:rsid w:val="001E2D2C"/>
    <w:rsid w:val="001E590D"/>
    <w:rsid w:val="001E68D8"/>
    <w:rsid w:val="001F1742"/>
    <w:rsid w:val="001F38F4"/>
    <w:rsid w:val="002004B8"/>
    <w:rsid w:val="00204771"/>
    <w:rsid w:val="00206D76"/>
    <w:rsid w:val="002079D3"/>
    <w:rsid w:val="0021351B"/>
    <w:rsid w:val="00220648"/>
    <w:rsid w:val="00225D60"/>
    <w:rsid w:val="00233C02"/>
    <w:rsid w:val="00241763"/>
    <w:rsid w:val="00241AA2"/>
    <w:rsid w:val="00245B27"/>
    <w:rsid w:val="00251DF9"/>
    <w:rsid w:val="00256D19"/>
    <w:rsid w:val="00275323"/>
    <w:rsid w:val="00277F20"/>
    <w:rsid w:val="00286C31"/>
    <w:rsid w:val="002958FC"/>
    <w:rsid w:val="002A6B99"/>
    <w:rsid w:val="002B0AF6"/>
    <w:rsid w:val="002C5923"/>
    <w:rsid w:val="002C695A"/>
    <w:rsid w:val="002E20F9"/>
    <w:rsid w:val="002E4103"/>
    <w:rsid w:val="002F54A4"/>
    <w:rsid w:val="002F5698"/>
    <w:rsid w:val="002F6969"/>
    <w:rsid w:val="0031290F"/>
    <w:rsid w:val="00317FCB"/>
    <w:rsid w:val="00321C4D"/>
    <w:rsid w:val="003227DC"/>
    <w:rsid w:val="00323099"/>
    <w:rsid w:val="0032525E"/>
    <w:rsid w:val="0032657C"/>
    <w:rsid w:val="00332A82"/>
    <w:rsid w:val="00333E55"/>
    <w:rsid w:val="00334216"/>
    <w:rsid w:val="00336A1B"/>
    <w:rsid w:val="003438D9"/>
    <w:rsid w:val="00351EDA"/>
    <w:rsid w:val="003547F7"/>
    <w:rsid w:val="003561D2"/>
    <w:rsid w:val="0035729F"/>
    <w:rsid w:val="003576E2"/>
    <w:rsid w:val="00357DEA"/>
    <w:rsid w:val="00365A22"/>
    <w:rsid w:val="00371DF9"/>
    <w:rsid w:val="00393C6A"/>
    <w:rsid w:val="00393CF1"/>
    <w:rsid w:val="0039509C"/>
    <w:rsid w:val="003A2A6B"/>
    <w:rsid w:val="003A3A48"/>
    <w:rsid w:val="003A3F72"/>
    <w:rsid w:val="003A4F8C"/>
    <w:rsid w:val="003A747B"/>
    <w:rsid w:val="003C2253"/>
    <w:rsid w:val="003C2324"/>
    <w:rsid w:val="003C7207"/>
    <w:rsid w:val="003C72A3"/>
    <w:rsid w:val="003D22C5"/>
    <w:rsid w:val="003E0C7C"/>
    <w:rsid w:val="004000F3"/>
    <w:rsid w:val="0041252C"/>
    <w:rsid w:val="0041440E"/>
    <w:rsid w:val="0041533C"/>
    <w:rsid w:val="00421A70"/>
    <w:rsid w:val="00425693"/>
    <w:rsid w:val="0042605B"/>
    <w:rsid w:val="00434322"/>
    <w:rsid w:val="00437648"/>
    <w:rsid w:val="0043785C"/>
    <w:rsid w:val="004436E7"/>
    <w:rsid w:val="0044520C"/>
    <w:rsid w:val="004454F8"/>
    <w:rsid w:val="00446633"/>
    <w:rsid w:val="004478E2"/>
    <w:rsid w:val="004634A8"/>
    <w:rsid w:val="004670DF"/>
    <w:rsid w:val="00467D5C"/>
    <w:rsid w:val="0048678D"/>
    <w:rsid w:val="004A45F8"/>
    <w:rsid w:val="004C0472"/>
    <w:rsid w:val="004C26BB"/>
    <w:rsid w:val="004C4AC5"/>
    <w:rsid w:val="004C4E09"/>
    <w:rsid w:val="004D2155"/>
    <w:rsid w:val="004E5669"/>
    <w:rsid w:val="004E57DF"/>
    <w:rsid w:val="004E72E8"/>
    <w:rsid w:val="004F3E10"/>
    <w:rsid w:val="004F4646"/>
    <w:rsid w:val="00501404"/>
    <w:rsid w:val="0050480B"/>
    <w:rsid w:val="00526091"/>
    <w:rsid w:val="0052649A"/>
    <w:rsid w:val="00532778"/>
    <w:rsid w:val="005347B3"/>
    <w:rsid w:val="00545198"/>
    <w:rsid w:val="0054525E"/>
    <w:rsid w:val="00547614"/>
    <w:rsid w:val="0054780B"/>
    <w:rsid w:val="00553246"/>
    <w:rsid w:val="0055459D"/>
    <w:rsid w:val="00554B69"/>
    <w:rsid w:val="00557C0E"/>
    <w:rsid w:val="00560326"/>
    <w:rsid w:val="00560AC1"/>
    <w:rsid w:val="00563713"/>
    <w:rsid w:val="005700C6"/>
    <w:rsid w:val="00571E92"/>
    <w:rsid w:val="00586344"/>
    <w:rsid w:val="0058711C"/>
    <w:rsid w:val="00590E46"/>
    <w:rsid w:val="005A03E9"/>
    <w:rsid w:val="005A5D3A"/>
    <w:rsid w:val="005A75F2"/>
    <w:rsid w:val="005B3BDD"/>
    <w:rsid w:val="005D6E9B"/>
    <w:rsid w:val="005D7B92"/>
    <w:rsid w:val="005E12F4"/>
    <w:rsid w:val="005E1480"/>
    <w:rsid w:val="00604639"/>
    <w:rsid w:val="00607BE1"/>
    <w:rsid w:val="00611736"/>
    <w:rsid w:val="00622E71"/>
    <w:rsid w:val="0062423A"/>
    <w:rsid w:val="00624321"/>
    <w:rsid w:val="00624918"/>
    <w:rsid w:val="0062548C"/>
    <w:rsid w:val="00631205"/>
    <w:rsid w:val="00632C4C"/>
    <w:rsid w:val="00632F3D"/>
    <w:rsid w:val="0064256D"/>
    <w:rsid w:val="006449C6"/>
    <w:rsid w:val="00645046"/>
    <w:rsid w:val="006452FA"/>
    <w:rsid w:val="00645320"/>
    <w:rsid w:val="006470E1"/>
    <w:rsid w:val="006509E7"/>
    <w:rsid w:val="006511BC"/>
    <w:rsid w:val="00654823"/>
    <w:rsid w:val="00663E73"/>
    <w:rsid w:val="00667F3E"/>
    <w:rsid w:val="0067222A"/>
    <w:rsid w:val="00674BFF"/>
    <w:rsid w:val="006860EF"/>
    <w:rsid w:val="006878A3"/>
    <w:rsid w:val="00693958"/>
    <w:rsid w:val="006943FE"/>
    <w:rsid w:val="00694FB7"/>
    <w:rsid w:val="0069619A"/>
    <w:rsid w:val="00697123"/>
    <w:rsid w:val="006B35BC"/>
    <w:rsid w:val="006B7FC0"/>
    <w:rsid w:val="006D3EA1"/>
    <w:rsid w:val="006D46EB"/>
    <w:rsid w:val="006E76C4"/>
    <w:rsid w:val="006E7D7F"/>
    <w:rsid w:val="006F0E43"/>
    <w:rsid w:val="006F6A3D"/>
    <w:rsid w:val="006F7BE2"/>
    <w:rsid w:val="007025D9"/>
    <w:rsid w:val="0070261C"/>
    <w:rsid w:val="0070645A"/>
    <w:rsid w:val="00711543"/>
    <w:rsid w:val="00712DC5"/>
    <w:rsid w:val="00722BFB"/>
    <w:rsid w:val="007323E3"/>
    <w:rsid w:val="0074254F"/>
    <w:rsid w:val="007472DD"/>
    <w:rsid w:val="00762FE5"/>
    <w:rsid w:val="00780F9F"/>
    <w:rsid w:val="007960D0"/>
    <w:rsid w:val="007A4347"/>
    <w:rsid w:val="007C5608"/>
    <w:rsid w:val="007C708D"/>
    <w:rsid w:val="007D4443"/>
    <w:rsid w:val="007D5D94"/>
    <w:rsid w:val="007D67C7"/>
    <w:rsid w:val="007D6C17"/>
    <w:rsid w:val="007E0352"/>
    <w:rsid w:val="007E37CE"/>
    <w:rsid w:val="007F316B"/>
    <w:rsid w:val="007F4611"/>
    <w:rsid w:val="007F5043"/>
    <w:rsid w:val="00804B98"/>
    <w:rsid w:val="008061F9"/>
    <w:rsid w:val="00815F1C"/>
    <w:rsid w:val="00820D8D"/>
    <w:rsid w:val="008218DD"/>
    <w:rsid w:val="008267E4"/>
    <w:rsid w:val="00832A8E"/>
    <w:rsid w:val="00832BAA"/>
    <w:rsid w:val="0084102E"/>
    <w:rsid w:val="008465A0"/>
    <w:rsid w:val="00847B05"/>
    <w:rsid w:val="00851587"/>
    <w:rsid w:val="00853452"/>
    <w:rsid w:val="00854D5D"/>
    <w:rsid w:val="008559C6"/>
    <w:rsid w:val="008642AF"/>
    <w:rsid w:val="00865435"/>
    <w:rsid w:val="00871221"/>
    <w:rsid w:val="00871E8D"/>
    <w:rsid w:val="00873D75"/>
    <w:rsid w:val="00880065"/>
    <w:rsid w:val="00890500"/>
    <w:rsid w:val="00892FE1"/>
    <w:rsid w:val="008969FA"/>
    <w:rsid w:val="008A6D80"/>
    <w:rsid w:val="008B304D"/>
    <w:rsid w:val="008B7496"/>
    <w:rsid w:val="008D73E0"/>
    <w:rsid w:val="008E3789"/>
    <w:rsid w:val="008E44AE"/>
    <w:rsid w:val="008F0863"/>
    <w:rsid w:val="00900210"/>
    <w:rsid w:val="0090155C"/>
    <w:rsid w:val="00902DCA"/>
    <w:rsid w:val="00904961"/>
    <w:rsid w:val="00907891"/>
    <w:rsid w:val="009107B8"/>
    <w:rsid w:val="0091213F"/>
    <w:rsid w:val="009121A2"/>
    <w:rsid w:val="0091374C"/>
    <w:rsid w:val="00923214"/>
    <w:rsid w:val="009318C8"/>
    <w:rsid w:val="009416BF"/>
    <w:rsid w:val="00942A10"/>
    <w:rsid w:val="00943977"/>
    <w:rsid w:val="009453EC"/>
    <w:rsid w:val="00945AA7"/>
    <w:rsid w:val="00946331"/>
    <w:rsid w:val="00953562"/>
    <w:rsid w:val="00954793"/>
    <w:rsid w:val="0096314F"/>
    <w:rsid w:val="00972C14"/>
    <w:rsid w:val="0099684F"/>
    <w:rsid w:val="009968B1"/>
    <w:rsid w:val="009A3A6E"/>
    <w:rsid w:val="009A6DD2"/>
    <w:rsid w:val="009B5137"/>
    <w:rsid w:val="009C4E29"/>
    <w:rsid w:val="009C6717"/>
    <w:rsid w:val="009C6CD1"/>
    <w:rsid w:val="009D1956"/>
    <w:rsid w:val="009D216F"/>
    <w:rsid w:val="009D38F4"/>
    <w:rsid w:val="009D3AAF"/>
    <w:rsid w:val="009E0541"/>
    <w:rsid w:val="009F2C9E"/>
    <w:rsid w:val="009F595C"/>
    <w:rsid w:val="00A001C5"/>
    <w:rsid w:val="00A01B6D"/>
    <w:rsid w:val="00A13DF9"/>
    <w:rsid w:val="00A15255"/>
    <w:rsid w:val="00A16E51"/>
    <w:rsid w:val="00A20116"/>
    <w:rsid w:val="00A2011E"/>
    <w:rsid w:val="00A21D86"/>
    <w:rsid w:val="00A256F7"/>
    <w:rsid w:val="00A25E8B"/>
    <w:rsid w:val="00A27229"/>
    <w:rsid w:val="00A33476"/>
    <w:rsid w:val="00A338D3"/>
    <w:rsid w:val="00A350F4"/>
    <w:rsid w:val="00A36192"/>
    <w:rsid w:val="00A364FA"/>
    <w:rsid w:val="00A3731C"/>
    <w:rsid w:val="00A44C15"/>
    <w:rsid w:val="00A54ECC"/>
    <w:rsid w:val="00A8648A"/>
    <w:rsid w:val="00AA16C4"/>
    <w:rsid w:val="00AA4103"/>
    <w:rsid w:val="00AB19C1"/>
    <w:rsid w:val="00AC2440"/>
    <w:rsid w:val="00AE4F72"/>
    <w:rsid w:val="00AE628C"/>
    <w:rsid w:val="00AE6668"/>
    <w:rsid w:val="00AF4E04"/>
    <w:rsid w:val="00B077B4"/>
    <w:rsid w:val="00B26FD0"/>
    <w:rsid w:val="00B452DC"/>
    <w:rsid w:val="00B558FB"/>
    <w:rsid w:val="00B65BAC"/>
    <w:rsid w:val="00B660B3"/>
    <w:rsid w:val="00B66AF3"/>
    <w:rsid w:val="00B75749"/>
    <w:rsid w:val="00B77A03"/>
    <w:rsid w:val="00B87F26"/>
    <w:rsid w:val="00B9134F"/>
    <w:rsid w:val="00B92025"/>
    <w:rsid w:val="00BA11B8"/>
    <w:rsid w:val="00BA4E75"/>
    <w:rsid w:val="00BB21DB"/>
    <w:rsid w:val="00BC3A8F"/>
    <w:rsid w:val="00BD1AA1"/>
    <w:rsid w:val="00BD2D54"/>
    <w:rsid w:val="00BD346D"/>
    <w:rsid w:val="00BD3BC6"/>
    <w:rsid w:val="00BD5139"/>
    <w:rsid w:val="00BD7FE1"/>
    <w:rsid w:val="00BE7752"/>
    <w:rsid w:val="00C040B2"/>
    <w:rsid w:val="00C13FCD"/>
    <w:rsid w:val="00C17CA8"/>
    <w:rsid w:val="00C20E8B"/>
    <w:rsid w:val="00C20FCF"/>
    <w:rsid w:val="00C33CF6"/>
    <w:rsid w:val="00C40C10"/>
    <w:rsid w:val="00C42B34"/>
    <w:rsid w:val="00C535F2"/>
    <w:rsid w:val="00C536D8"/>
    <w:rsid w:val="00C5491D"/>
    <w:rsid w:val="00C55BF4"/>
    <w:rsid w:val="00C60481"/>
    <w:rsid w:val="00C63754"/>
    <w:rsid w:val="00C73422"/>
    <w:rsid w:val="00C76AF8"/>
    <w:rsid w:val="00C860BD"/>
    <w:rsid w:val="00C865E5"/>
    <w:rsid w:val="00C92607"/>
    <w:rsid w:val="00C975A3"/>
    <w:rsid w:val="00CA1349"/>
    <w:rsid w:val="00CB2822"/>
    <w:rsid w:val="00CB4309"/>
    <w:rsid w:val="00CB584D"/>
    <w:rsid w:val="00CC3750"/>
    <w:rsid w:val="00CC5BB2"/>
    <w:rsid w:val="00CE0FC4"/>
    <w:rsid w:val="00CE10ED"/>
    <w:rsid w:val="00CE3396"/>
    <w:rsid w:val="00CE3CD0"/>
    <w:rsid w:val="00CE5FEA"/>
    <w:rsid w:val="00D241F4"/>
    <w:rsid w:val="00D24A64"/>
    <w:rsid w:val="00D5032F"/>
    <w:rsid w:val="00D50D20"/>
    <w:rsid w:val="00D5166B"/>
    <w:rsid w:val="00D546C0"/>
    <w:rsid w:val="00D61971"/>
    <w:rsid w:val="00D66C4F"/>
    <w:rsid w:val="00D71C51"/>
    <w:rsid w:val="00D726CC"/>
    <w:rsid w:val="00D96441"/>
    <w:rsid w:val="00DA1329"/>
    <w:rsid w:val="00DA1D04"/>
    <w:rsid w:val="00DA32B5"/>
    <w:rsid w:val="00DB22F2"/>
    <w:rsid w:val="00DB63A4"/>
    <w:rsid w:val="00DB67B4"/>
    <w:rsid w:val="00DC3D52"/>
    <w:rsid w:val="00DC664A"/>
    <w:rsid w:val="00DC6A61"/>
    <w:rsid w:val="00DD1CAD"/>
    <w:rsid w:val="00DD7587"/>
    <w:rsid w:val="00DE5CE8"/>
    <w:rsid w:val="00DF0805"/>
    <w:rsid w:val="00DF7A7A"/>
    <w:rsid w:val="00E1143E"/>
    <w:rsid w:val="00E16423"/>
    <w:rsid w:val="00E203FD"/>
    <w:rsid w:val="00E219BF"/>
    <w:rsid w:val="00E21ABD"/>
    <w:rsid w:val="00E220EC"/>
    <w:rsid w:val="00E315B3"/>
    <w:rsid w:val="00E374AA"/>
    <w:rsid w:val="00E37F6A"/>
    <w:rsid w:val="00E401F8"/>
    <w:rsid w:val="00E410AD"/>
    <w:rsid w:val="00E43480"/>
    <w:rsid w:val="00E44A46"/>
    <w:rsid w:val="00E50CC2"/>
    <w:rsid w:val="00E57051"/>
    <w:rsid w:val="00E65463"/>
    <w:rsid w:val="00E8615C"/>
    <w:rsid w:val="00E8627A"/>
    <w:rsid w:val="00E96C2C"/>
    <w:rsid w:val="00E9770E"/>
    <w:rsid w:val="00EA2AC9"/>
    <w:rsid w:val="00EA2D1D"/>
    <w:rsid w:val="00EC12DA"/>
    <w:rsid w:val="00EC771E"/>
    <w:rsid w:val="00EE2CFE"/>
    <w:rsid w:val="00EE7DAE"/>
    <w:rsid w:val="00EF50E1"/>
    <w:rsid w:val="00EF7BBA"/>
    <w:rsid w:val="00F03C07"/>
    <w:rsid w:val="00F047DD"/>
    <w:rsid w:val="00F0600C"/>
    <w:rsid w:val="00F06AA7"/>
    <w:rsid w:val="00F106AD"/>
    <w:rsid w:val="00F201EB"/>
    <w:rsid w:val="00F30B88"/>
    <w:rsid w:val="00F32145"/>
    <w:rsid w:val="00F32413"/>
    <w:rsid w:val="00F34D4F"/>
    <w:rsid w:val="00F36F8F"/>
    <w:rsid w:val="00F37ECB"/>
    <w:rsid w:val="00F43197"/>
    <w:rsid w:val="00F4386A"/>
    <w:rsid w:val="00F530DE"/>
    <w:rsid w:val="00F57E57"/>
    <w:rsid w:val="00F62A42"/>
    <w:rsid w:val="00F66ACC"/>
    <w:rsid w:val="00F72266"/>
    <w:rsid w:val="00F75B25"/>
    <w:rsid w:val="00F765BA"/>
    <w:rsid w:val="00F93A4A"/>
    <w:rsid w:val="00FB2836"/>
    <w:rsid w:val="00FB7032"/>
    <w:rsid w:val="00FB7AC7"/>
    <w:rsid w:val="00FC0F83"/>
    <w:rsid w:val="00FD7E68"/>
    <w:rsid w:val="00FE69AE"/>
    <w:rsid w:val="00FF5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397D80-2A42-433A-98BA-5E20EBE5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40E"/>
  </w:style>
  <w:style w:type="paragraph" w:styleId="Footer">
    <w:name w:val="footer"/>
    <w:basedOn w:val="Normal"/>
    <w:link w:val="FooterChar"/>
    <w:uiPriority w:val="99"/>
    <w:unhideWhenUsed/>
    <w:rsid w:val="00414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40E"/>
  </w:style>
  <w:style w:type="paragraph" w:styleId="FootnoteText">
    <w:name w:val="footnote text"/>
    <w:basedOn w:val="Normal"/>
    <w:link w:val="FootnoteTextChar"/>
    <w:uiPriority w:val="99"/>
    <w:unhideWhenUsed/>
    <w:rsid w:val="00DB67B4"/>
    <w:pPr>
      <w:spacing w:after="0" w:line="240" w:lineRule="auto"/>
    </w:pPr>
    <w:rPr>
      <w:sz w:val="20"/>
      <w:szCs w:val="20"/>
    </w:rPr>
  </w:style>
  <w:style w:type="character" w:customStyle="1" w:styleId="FootnoteTextChar">
    <w:name w:val="Footnote Text Char"/>
    <w:basedOn w:val="DefaultParagraphFont"/>
    <w:link w:val="FootnoteText"/>
    <w:uiPriority w:val="99"/>
    <w:rsid w:val="00DB67B4"/>
    <w:rPr>
      <w:sz w:val="20"/>
      <w:szCs w:val="20"/>
    </w:rPr>
  </w:style>
  <w:style w:type="character" w:styleId="FootnoteReference">
    <w:name w:val="footnote reference"/>
    <w:basedOn w:val="DefaultParagraphFont"/>
    <w:uiPriority w:val="99"/>
    <w:semiHidden/>
    <w:unhideWhenUsed/>
    <w:rsid w:val="00DB67B4"/>
    <w:rPr>
      <w:vertAlign w:val="superscript"/>
    </w:rPr>
  </w:style>
  <w:style w:type="paragraph" w:styleId="EndnoteText">
    <w:name w:val="endnote text"/>
    <w:basedOn w:val="Normal"/>
    <w:link w:val="EndnoteTextChar"/>
    <w:semiHidden/>
    <w:rsid w:val="00365A2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65A22"/>
    <w:rPr>
      <w:rFonts w:ascii="Times New Roman" w:eastAsia="Times New Roman" w:hAnsi="Times New Roman" w:cs="Times New Roman"/>
      <w:sz w:val="20"/>
      <w:szCs w:val="20"/>
    </w:rPr>
  </w:style>
  <w:style w:type="paragraph" w:styleId="ListParagraph">
    <w:name w:val="List Paragraph"/>
    <w:basedOn w:val="Normal"/>
    <w:uiPriority w:val="34"/>
    <w:qFormat/>
    <w:rsid w:val="00865435"/>
    <w:pPr>
      <w:ind w:left="720"/>
      <w:contextualSpacing/>
    </w:pPr>
  </w:style>
  <w:style w:type="paragraph" w:styleId="BalloonText">
    <w:name w:val="Balloon Text"/>
    <w:basedOn w:val="Normal"/>
    <w:link w:val="BalloonTextChar"/>
    <w:uiPriority w:val="99"/>
    <w:semiHidden/>
    <w:unhideWhenUsed/>
    <w:rsid w:val="00545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5E"/>
    <w:rPr>
      <w:rFonts w:ascii="Tahoma" w:hAnsi="Tahoma" w:cs="Tahoma"/>
      <w:sz w:val="16"/>
      <w:szCs w:val="16"/>
    </w:rPr>
  </w:style>
  <w:style w:type="character" w:styleId="CommentReference">
    <w:name w:val="annotation reference"/>
    <w:basedOn w:val="DefaultParagraphFont"/>
    <w:uiPriority w:val="99"/>
    <w:semiHidden/>
    <w:unhideWhenUsed/>
    <w:rsid w:val="007C5608"/>
    <w:rPr>
      <w:sz w:val="16"/>
      <w:szCs w:val="16"/>
    </w:rPr>
  </w:style>
  <w:style w:type="paragraph" w:styleId="CommentText">
    <w:name w:val="annotation text"/>
    <w:basedOn w:val="Normal"/>
    <w:link w:val="CommentTextChar"/>
    <w:uiPriority w:val="99"/>
    <w:semiHidden/>
    <w:unhideWhenUsed/>
    <w:rsid w:val="007C5608"/>
    <w:pPr>
      <w:spacing w:line="240" w:lineRule="auto"/>
    </w:pPr>
    <w:rPr>
      <w:sz w:val="20"/>
      <w:szCs w:val="20"/>
    </w:rPr>
  </w:style>
  <w:style w:type="character" w:customStyle="1" w:styleId="CommentTextChar">
    <w:name w:val="Comment Text Char"/>
    <w:basedOn w:val="DefaultParagraphFont"/>
    <w:link w:val="CommentText"/>
    <w:uiPriority w:val="99"/>
    <w:semiHidden/>
    <w:rsid w:val="007C5608"/>
    <w:rPr>
      <w:sz w:val="20"/>
      <w:szCs w:val="20"/>
    </w:rPr>
  </w:style>
  <w:style w:type="paragraph" w:styleId="CommentSubject">
    <w:name w:val="annotation subject"/>
    <w:basedOn w:val="CommentText"/>
    <w:next w:val="CommentText"/>
    <w:link w:val="CommentSubjectChar"/>
    <w:uiPriority w:val="99"/>
    <w:semiHidden/>
    <w:unhideWhenUsed/>
    <w:rsid w:val="007C5608"/>
    <w:rPr>
      <w:b/>
      <w:bCs/>
    </w:rPr>
  </w:style>
  <w:style w:type="character" w:customStyle="1" w:styleId="CommentSubjectChar">
    <w:name w:val="Comment Subject Char"/>
    <w:basedOn w:val="CommentTextChar"/>
    <w:link w:val="CommentSubject"/>
    <w:uiPriority w:val="99"/>
    <w:semiHidden/>
    <w:rsid w:val="007C5608"/>
    <w:rPr>
      <w:b/>
      <w:bCs/>
      <w:sz w:val="20"/>
      <w:szCs w:val="20"/>
    </w:rPr>
  </w:style>
  <w:style w:type="paragraph" w:styleId="Subtitle">
    <w:name w:val="Subtitle"/>
    <w:basedOn w:val="Normal"/>
    <w:next w:val="Normal"/>
    <w:link w:val="SubtitleChar"/>
    <w:uiPriority w:val="11"/>
    <w:qFormat/>
    <w:rsid w:val="00060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081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60812"/>
    <w:pPr>
      <w:spacing w:after="0" w:line="240" w:lineRule="auto"/>
    </w:pPr>
  </w:style>
  <w:style w:type="character" w:customStyle="1" w:styleId="lphit">
    <w:name w:val="lphit"/>
    <w:basedOn w:val="DefaultParagraphFont"/>
    <w:rsid w:val="009F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04C7-0CCA-4FDE-B66A-2C2318F0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8532</Words>
  <Characters>48639</Characters>
  <Application>Microsoft Office Word</Application>
  <DocSecurity>4</DocSecurity>
  <Lines>405</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Aberdeen</Company>
  <LinksUpToDate>false</LinksUpToDate>
  <CharactersWithSpaces>57057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Mcgregor, Naomi</cp:lastModifiedBy>
  <cp:revision>2</cp:revision>
  <cp:lastPrinted>2018-05-15T08:44:00Z</cp:lastPrinted>
  <dcterms:created xsi:type="dcterms:W3CDTF">2018-09-28T07:16:00Z</dcterms:created>
  <dcterms:modified xsi:type="dcterms:W3CDTF">2018-09-28T07:16:00Z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-1888137735</vt:i4>
  </property>
  <property fmtid="{D5CDD505-2E9C-101B-9397-08002B2CF9AE}" pid="4" name="_EmailSubject">
    <vt:lpwstr>Unjustified Enrichment Final</vt:lpwstr>
  </property>
  <property fmtid="{D5CDD505-2E9C-101B-9397-08002B2CF9AE}" pid="5" name="_AuthorEmail">
    <vt:lpwstr>revansj@abdn.ac.uk</vt:lpwstr>
  </property>
  <property fmtid="{D5CDD505-2E9C-101B-9397-08002B2CF9AE}" pid="6" name="_AuthorEmailDisplayName">
    <vt:lpwstr>Evans-jones, Professor Robin</vt:lpwstr>
  </property>
  <property fmtid="{D5CDD505-2E9C-101B-9397-08002B2CF9AE}" pid="7" name="_ReviewingToolsShownOnce">
    <vt:lpwstr/>
  </property>
</Properties>
</file>