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DB1F2" w14:textId="77777777" w:rsidR="000C3A2F" w:rsidRDefault="000C3A2F" w:rsidP="000C3A2F">
      <w:pPr>
        <w:jc w:val="both"/>
        <w:rPr>
          <w:rFonts w:ascii="Times New Roman" w:hAnsi="Times New Roman" w:cs="Times New Roman"/>
          <w:b/>
          <w:bCs/>
          <w:sz w:val="40"/>
          <w:szCs w:val="40"/>
        </w:rPr>
      </w:pPr>
      <w:r>
        <w:rPr>
          <w:rFonts w:ascii="Times New Roman" w:hAnsi="Times New Roman" w:cs="Times New Roman"/>
          <w:b/>
          <w:bCs/>
          <w:noProof/>
          <w:sz w:val="40"/>
          <w:szCs w:val="40"/>
        </w:rPr>
        <w:drawing>
          <wp:inline distT="0" distB="0" distL="0" distR="0" wp14:anchorId="0E32D107" wp14:editId="0D6B4666">
            <wp:extent cx="2758633" cy="558800"/>
            <wp:effectExtent l="0" t="0" r="3810" b="0"/>
            <wp:docPr id="1372865360"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865360" name="Picture 2" descr="A black and white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7474" cy="562617"/>
                    </a:xfrm>
                    <a:prstGeom prst="rect">
                      <a:avLst/>
                    </a:prstGeom>
                    <a:noFill/>
                  </pic:spPr>
                </pic:pic>
              </a:graphicData>
            </a:graphic>
          </wp:inline>
        </w:drawing>
      </w:r>
    </w:p>
    <w:p w14:paraId="68909862" w14:textId="77777777" w:rsidR="000C3A2F" w:rsidRDefault="000C3A2F" w:rsidP="000C3A2F">
      <w:pPr>
        <w:jc w:val="both"/>
        <w:rPr>
          <w:rFonts w:ascii="Times New Roman" w:hAnsi="Times New Roman" w:cs="Times New Roman"/>
        </w:rPr>
      </w:pPr>
      <w:r>
        <w:rPr>
          <w:rFonts w:ascii="Times New Roman" w:hAnsi="Times New Roman" w:cs="Times New Roman"/>
        </w:rPr>
        <w:t xml:space="preserve">This </w:t>
      </w:r>
      <w:r w:rsidRPr="00D60F8C">
        <w:rPr>
          <w:rFonts w:ascii="Times New Roman" w:hAnsi="Times New Roman" w:cs="Times New Roman"/>
        </w:rPr>
        <w:t>research was</w:t>
      </w:r>
      <w:r>
        <w:rPr>
          <w:rFonts w:ascii="Times New Roman" w:hAnsi="Times New Roman" w:cs="Times New Roman"/>
        </w:rPr>
        <w:t xml:space="preserve"> </w:t>
      </w:r>
      <w:r w:rsidRPr="00D60F8C">
        <w:rPr>
          <w:rFonts w:ascii="Times New Roman" w:hAnsi="Times New Roman" w:cs="Times New Roman"/>
        </w:rPr>
        <w:t>supported by the RSE</w:t>
      </w:r>
      <w:r>
        <w:rPr>
          <w:rFonts w:ascii="Times New Roman" w:hAnsi="Times New Roman" w:cs="Times New Roman"/>
        </w:rPr>
        <w:t xml:space="preserve"> </w:t>
      </w:r>
      <w:r w:rsidRPr="00D565E4">
        <w:rPr>
          <w:rFonts w:ascii="Times New Roman" w:hAnsi="Times New Roman" w:cs="Times New Roman"/>
        </w:rPr>
        <w:t>Saltire Facilitation Network Award</w:t>
      </w:r>
      <w:r>
        <w:rPr>
          <w:rFonts w:ascii="Times New Roman" w:hAnsi="Times New Roman" w:cs="Times New Roman"/>
        </w:rPr>
        <w:t xml:space="preserve"> No 1924.</w:t>
      </w:r>
    </w:p>
    <w:p w14:paraId="4E8D3A2A" w14:textId="4C8B5E43" w:rsidR="00EE2DF1" w:rsidRPr="00C544E3" w:rsidRDefault="00586FBA" w:rsidP="007919E2">
      <w:pPr>
        <w:jc w:val="center"/>
        <w:rPr>
          <w:rFonts w:ascii="Times New Roman" w:hAnsi="Times New Roman" w:cs="Times New Roman"/>
          <w:b/>
          <w:bCs/>
          <w:sz w:val="40"/>
          <w:szCs w:val="40"/>
        </w:rPr>
      </w:pPr>
      <w:r w:rsidRPr="00C544E3">
        <w:rPr>
          <w:rFonts w:ascii="Times New Roman" w:hAnsi="Times New Roman" w:cs="Times New Roman"/>
          <w:b/>
          <w:bCs/>
          <w:sz w:val="40"/>
          <w:szCs w:val="40"/>
        </w:rPr>
        <w:t>National Report</w:t>
      </w:r>
      <w:r w:rsidR="007919E2">
        <w:rPr>
          <w:rFonts w:ascii="Times New Roman" w:hAnsi="Times New Roman" w:cs="Times New Roman"/>
          <w:b/>
          <w:bCs/>
          <w:sz w:val="40"/>
          <w:szCs w:val="40"/>
        </w:rPr>
        <w:t>: Lithuania</w:t>
      </w:r>
    </w:p>
    <w:p w14:paraId="58EACCAD" w14:textId="77777777" w:rsidR="007919E2" w:rsidRDefault="007919E2" w:rsidP="007919E2">
      <w:pPr>
        <w:jc w:val="both"/>
        <w:rPr>
          <w:rFonts w:ascii="Times New Roman" w:hAnsi="Times New Roman" w:cs="Times New Roman"/>
          <w:b/>
          <w:bCs/>
        </w:rPr>
      </w:pPr>
    </w:p>
    <w:p w14:paraId="383C7B62" w14:textId="5C26D5F4" w:rsidR="007919E2" w:rsidRPr="00C544E3" w:rsidRDefault="007919E2" w:rsidP="007919E2">
      <w:pPr>
        <w:jc w:val="both"/>
        <w:rPr>
          <w:rFonts w:ascii="Times New Roman" w:hAnsi="Times New Roman" w:cs="Times New Roman"/>
        </w:rPr>
      </w:pPr>
      <w:r w:rsidRPr="00C544E3">
        <w:rPr>
          <w:rFonts w:ascii="Times New Roman" w:hAnsi="Times New Roman" w:cs="Times New Roman"/>
          <w:b/>
          <w:bCs/>
        </w:rPr>
        <w:t>Research Project:</w:t>
      </w:r>
      <w:r w:rsidRPr="00C544E3">
        <w:rPr>
          <w:rFonts w:ascii="Times New Roman" w:hAnsi="Times New Roman" w:cs="Times New Roman"/>
        </w:rPr>
        <w:t xml:space="preserve"> Protection of international families with links to the European Union post-Brexit: Collaborative Scotland-EU partnership </w:t>
      </w:r>
    </w:p>
    <w:p w14:paraId="647AF571" w14:textId="77777777" w:rsidR="007919E2" w:rsidRDefault="007919E2" w:rsidP="007919E2">
      <w:pPr>
        <w:spacing w:before="120" w:after="120"/>
        <w:rPr>
          <w:rFonts w:ascii="Times New Roman" w:hAnsi="Times New Roman" w:cs="Times New Roman"/>
          <w:b/>
        </w:rPr>
      </w:pPr>
    </w:p>
    <w:p w14:paraId="215BF349" w14:textId="1ACA786F" w:rsidR="007919E2" w:rsidRPr="009D7E69" w:rsidRDefault="007919E2" w:rsidP="007919E2">
      <w:pPr>
        <w:spacing w:before="120" w:after="120"/>
        <w:rPr>
          <w:rFonts w:ascii="Times New Roman" w:hAnsi="Times New Roman" w:cs="Times New Roman"/>
          <w:b/>
        </w:rPr>
      </w:pPr>
      <w:r w:rsidRPr="009D7E69">
        <w:rPr>
          <w:rFonts w:ascii="Times New Roman" w:hAnsi="Times New Roman" w:cs="Times New Roman"/>
          <w:b/>
        </w:rPr>
        <w:t xml:space="preserve">Dr Agnė </w:t>
      </w:r>
      <w:proofErr w:type="spellStart"/>
      <w:r w:rsidRPr="009D7E69">
        <w:rPr>
          <w:rFonts w:ascii="Times New Roman" w:hAnsi="Times New Roman" w:cs="Times New Roman"/>
          <w:b/>
        </w:rPr>
        <w:t>Limantė</w:t>
      </w:r>
      <w:proofErr w:type="spellEnd"/>
    </w:p>
    <w:p w14:paraId="5F91072B" w14:textId="77777777" w:rsidR="007919E2" w:rsidRPr="009D7E69" w:rsidRDefault="007919E2" w:rsidP="007919E2">
      <w:pPr>
        <w:spacing w:before="120" w:after="120"/>
        <w:rPr>
          <w:rFonts w:ascii="Times New Roman" w:hAnsi="Times New Roman" w:cs="Times New Roman"/>
        </w:rPr>
      </w:pPr>
      <w:r w:rsidRPr="009D7E69">
        <w:rPr>
          <w:rFonts w:ascii="Times New Roman" w:hAnsi="Times New Roman" w:cs="Times New Roman"/>
        </w:rPr>
        <w:t>Chief Researcher</w:t>
      </w:r>
    </w:p>
    <w:p w14:paraId="59CCD9AE" w14:textId="77777777" w:rsidR="007919E2" w:rsidRPr="009D7E69" w:rsidRDefault="007919E2" w:rsidP="007919E2">
      <w:pPr>
        <w:spacing w:before="120" w:after="120"/>
        <w:rPr>
          <w:rFonts w:ascii="Times New Roman" w:hAnsi="Times New Roman" w:cs="Times New Roman"/>
        </w:rPr>
      </w:pPr>
      <w:r w:rsidRPr="009D7E69">
        <w:rPr>
          <w:rFonts w:ascii="Times New Roman" w:hAnsi="Times New Roman" w:cs="Times New Roman"/>
        </w:rPr>
        <w:t>Law Institute, Lithuanian Centre for Social Sciences</w:t>
      </w:r>
    </w:p>
    <w:p w14:paraId="22C7D8FB" w14:textId="77777777" w:rsidR="007919E2" w:rsidRPr="009D7E69" w:rsidRDefault="007919E2" w:rsidP="007919E2">
      <w:pPr>
        <w:spacing w:before="120" w:after="120"/>
        <w:rPr>
          <w:rFonts w:ascii="Times New Roman" w:hAnsi="Times New Roman" w:cs="Times New Roman"/>
        </w:rPr>
      </w:pPr>
      <w:r w:rsidRPr="009D7E69">
        <w:rPr>
          <w:rFonts w:ascii="Times New Roman" w:hAnsi="Times New Roman" w:cs="Times New Roman"/>
        </w:rPr>
        <w:t>Vilnius, Lithuania</w:t>
      </w:r>
    </w:p>
    <w:p w14:paraId="67DBD6D2" w14:textId="77777777" w:rsidR="007919E2" w:rsidRPr="009D7E69" w:rsidRDefault="007919E2" w:rsidP="007919E2">
      <w:pPr>
        <w:spacing w:before="120" w:after="120"/>
        <w:rPr>
          <w:rFonts w:ascii="Times New Roman" w:hAnsi="Times New Roman" w:cs="Times New Roman"/>
        </w:rPr>
      </w:pPr>
      <w:r w:rsidRPr="009D7E69">
        <w:rPr>
          <w:rFonts w:ascii="Times New Roman" w:hAnsi="Times New Roman" w:cs="Times New Roman"/>
        </w:rPr>
        <w:t>agne.limante@teise.org</w:t>
      </w:r>
      <w:r w:rsidRPr="009D7E69" w:rsidDel="00E81B89">
        <w:rPr>
          <w:rFonts w:ascii="Times New Roman" w:hAnsi="Times New Roman" w:cs="Times New Roman"/>
        </w:rPr>
        <w:t xml:space="preserve"> </w:t>
      </w:r>
    </w:p>
    <w:p w14:paraId="77CD149F" w14:textId="77777777" w:rsidR="007919E2" w:rsidRPr="009D7E69" w:rsidRDefault="007919E2" w:rsidP="007919E2">
      <w:pPr>
        <w:spacing w:before="120" w:after="120"/>
        <w:rPr>
          <w:rFonts w:ascii="Times New Roman" w:hAnsi="Times New Roman" w:cs="Times New Roman"/>
        </w:rPr>
      </w:pPr>
      <w:r w:rsidRPr="009D7E69">
        <w:rPr>
          <w:rFonts w:ascii="Times New Roman" w:hAnsi="Times New Roman" w:cs="Times New Roman"/>
        </w:rPr>
        <w:t>https://orcid.org/0000-0001-7365-787X</w:t>
      </w:r>
    </w:p>
    <w:p w14:paraId="2A1A8EE1" w14:textId="77777777" w:rsidR="00CF7629" w:rsidRPr="00C544E3" w:rsidRDefault="00CF7629" w:rsidP="008A76E4">
      <w:pPr>
        <w:jc w:val="both"/>
        <w:rPr>
          <w:rFonts w:ascii="Times New Roman" w:hAnsi="Times New Roman" w:cs="Times New Roman"/>
          <w:b/>
          <w:bCs/>
        </w:rPr>
      </w:pPr>
    </w:p>
    <w:p w14:paraId="6A6487C5" w14:textId="77777777" w:rsidR="00CF7629" w:rsidRPr="00C544E3" w:rsidRDefault="00CF7629" w:rsidP="008A76E4">
      <w:pPr>
        <w:jc w:val="both"/>
        <w:rPr>
          <w:rFonts w:ascii="Times New Roman" w:hAnsi="Times New Roman" w:cs="Times New Roman"/>
          <w:b/>
          <w:bCs/>
        </w:rPr>
      </w:pPr>
    </w:p>
    <w:p w14:paraId="35552F4A" w14:textId="79E2CC85" w:rsidR="004942CE" w:rsidRPr="00C544E3" w:rsidRDefault="004942CE" w:rsidP="008A76E4">
      <w:pPr>
        <w:jc w:val="both"/>
        <w:rPr>
          <w:rFonts w:ascii="Times New Roman" w:hAnsi="Times New Roman" w:cs="Times New Roman"/>
        </w:rPr>
      </w:pPr>
      <w:r w:rsidRPr="00C544E3">
        <w:rPr>
          <w:rFonts w:ascii="Times New Roman" w:hAnsi="Times New Roman" w:cs="Times New Roman"/>
        </w:rPr>
        <w:t>Hague Conventions</w:t>
      </w:r>
      <w:r w:rsidR="00F408AF" w:rsidRPr="00C544E3">
        <w:rPr>
          <w:rFonts w:ascii="Times New Roman" w:hAnsi="Times New Roman" w:cs="Times New Roman"/>
        </w:rPr>
        <w:t xml:space="preserve">, which </w:t>
      </w:r>
      <w:r w:rsidR="007919E2">
        <w:rPr>
          <w:rFonts w:ascii="Times New Roman" w:hAnsi="Times New Roman" w:cs="Times New Roman"/>
        </w:rPr>
        <w:t>are</w:t>
      </w:r>
      <w:r w:rsidR="00F408AF" w:rsidRPr="00C544E3">
        <w:rPr>
          <w:rFonts w:ascii="Times New Roman" w:hAnsi="Times New Roman" w:cs="Times New Roman"/>
        </w:rPr>
        <w:t xml:space="preserve"> researched in this </w:t>
      </w:r>
      <w:r w:rsidR="007919E2">
        <w:rPr>
          <w:rFonts w:ascii="Times New Roman" w:hAnsi="Times New Roman" w:cs="Times New Roman"/>
        </w:rPr>
        <w:t>report</w:t>
      </w:r>
      <w:r w:rsidRPr="00C544E3">
        <w:rPr>
          <w:rFonts w:ascii="Times New Roman" w:hAnsi="Times New Roman" w:cs="Times New Roman"/>
        </w:rPr>
        <w:t>:</w:t>
      </w:r>
    </w:p>
    <w:p w14:paraId="7B59D01E" w14:textId="77777777" w:rsidR="00161434" w:rsidRPr="007919E2" w:rsidRDefault="004942CE" w:rsidP="008A76E4">
      <w:pPr>
        <w:pStyle w:val="ListParagraph"/>
        <w:numPr>
          <w:ilvl w:val="0"/>
          <w:numId w:val="16"/>
        </w:numPr>
        <w:jc w:val="both"/>
        <w:rPr>
          <w:rFonts w:ascii="Times New Roman" w:hAnsi="Times New Roman" w:cs="Times New Roman"/>
          <w:b/>
          <w:bCs/>
        </w:rPr>
      </w:pPr>
      <w:r w:rsidRPr="007919E2">
        <w:rPr>
          <w:rFonts w:ascii="Times New Roman" w:hAnsi="Times New Roman" w:cs="Times New Roman"/>
          <w:b/>
          <w:bCs/>
        </w:rPr>
        <w:t>Convention of 25 October 1980 on the Civil Aspects of International Child Abduction</w:t>
      </w:r>
      <w:r w:rsidR="00161434" w:rsidRPr="007919E2">
        <w:rPr>
          <w:rFonts w:ascii="Times New Roman" w:hAnsi="Times New Roman" w:cs="Times New Roman"/>
          <w:b/>
          <w:bCs/>
        </w:rPr>
        <w:t xml:space="preserve"> </w:t>
      </w:r>
    </w:p>
    <w:p w14:paraId="34C82A67" w14:textId="2D2C164B" w:rsidR="004942CE" w:rsidRPr="007919E2" w:rsidRDefault="00161434" w:rsidP="00161434">
      <w:pPr>
        <w:pStyle w:val="ListParagraph"/>
        <w:jc w:val="both"/>
        <w:rPr>
          <w:rFonts w:ascii="Times New Roman" w:hAnsi="Times New Roman" w:cs="Times New Roman"/>
        </w:rPr>
      </w:pPr>
      <w:r w:rsidRPr="007919E2">
        <w:rPr>
          <w:rFonts w:ascii="Times New Roman" w:hAnsi="Times New Roman" w:cs="Times New Roman"/>
        </w:rPr>
        <w:t>/ “</w:t>
      </w:r>
      <w:proofErr w:type="spellStart"/>
      <w:r w:rsidRPr="00B14C89">
        <w:rPr>
          <w:rFonts w:ascii="Times New Roman" w:hAnsi="Times New Roman" w:cs="Times New Roman"/>
          <w:i/>
          <w:iCs/>
        </w:rPr>
        <w:t>Konvencija</w:t>
      </w:r>
      <w:proofErr w:type="spellEnd"/>
      <w:r w:rsidRPr="00B14C89">
        <w:rPr>
          <w:rFonts w:ascii="Times New Roman" w:hAnsi="Times New Roman" w:cs="Times New Roman"/>
          <w:i/>
          <w:iCs/>
        </w:rPr>
        <w:t xml:space="preserve"> </w:t>
      </w:r>
      <w:proofErr w:type="spellStart"/>
      <w:r w:rsidRPr="00B14C89">
        <w:rPr>
          <w:rFonts w:ascii="Times New Roman" w:hAnsi="Times New Roman" w:cs="Times New Roman"/>
          <w:i/>
          <w:iCs/>
        </w:rPr>
        <w:t>dėl</w:t>
      </w:r>
      <w:proofErr w:type="spellEnd"/>
      <w:r w:rsidRPr="00B14C89">
        <w:rPr>
          <w:rFonts w:ascii="Times New Roman" w:hAnsi="Times New Roman" w:cs="Times New Roman"/>
          <w:i/>
          <w:iCs/>
        </w:rPr>
        <w:t xml:space="preserve"> </w:t>
      </w:r>
      <w:proofErr w:type="spellStart"/>
      <w:r w:rsidRPr="00B14C89">
        <w:rPr>
          <w:rFonts w:ascii="Times New Roman" w:hAnsi="Times New Roman" w:cs="Times New Roman"/>
          <w:i/>
          <w:iCs/>
        </w:rPr>
        <w:t>tarptautinio</w:t>
      </w:r>
      <w:proofErr w:type="spellEnd"/>
      <w:r w:rsidRPr="00B14C89">
        <w:rPr>
          <w:rFonts w:ascii="Times New Roman" w:hAnsi="Times New Roman" w:cs="Times New Roman"/>
          <w:i/>
          <w:iCs/>
        </w:rPr>
        <w:t xml:space="preserve"> </w:t>
      </w:r>
      <w:proofErr w:type="spellStart"/>
      <w:r w:rsidRPr="00B14C89">
        <w:rPr>
          <w:rFonts w:ascii="Times New Roman" w:hAnsi="Times New Roman" w:cs="Times New Roman"/>
          <w:i/>
          <w:iCs/>
        </w:rPr>
        <w:t>vaikų</w:t>
      </w:r>
      <w:proofErr w:type="spellEnd"/>
      <w:r w:rsidRPr="00B14C89">
        <w:rPr>
          <w:rFonts w:ascii="Times New Roman" w:hAnsi="Times New Roman" w:cs="Times New Roman"/>
          <w:i/>
          <w:iCs/>
        </w:rPr>
        <w:t xml:space="preserve"> </w:t>
      </w:r>
      <w:proofErr w:type="spellStart"/>
      <w:r w:rsidRPr="00B14C89">
        <w:rPr>
          <w:rFonts w:ascii="Times New Roman" w:hAnsi="Times New Roman" w:cs="Times New Roman"/>
          <w:i/>
          <w:iCs/>
        </w:rPr>
        <w:t>grobimo</w:t>
      </w:r>
      <w:proofErr w:type="spellEnd"/>
      <w:r w:rsidRPr="00B14C89">
        <w:rPr>
          <w:rFonts w:ascii="Times New Roman" w:hAnsi="Times New Roman" w:cs="Times New Roman"/>
          <w:i/>
          <w:iCs/>
        </w:rPr>
        <w:t xml:space="preserve"> </w:t>
      </w:r>
      <w:proofErr w:type="spellStart"/>
      <w:r w:rsidRPr="00B14C89">
        <w:rPr>
          <w:rFonts w:ascii="Times New Roman" w:hAnsi="Times New Roman" w:cs="Times New Roman"/>
          <w:i/>
          <w:iCs/>
        </w:rPr>
        <w:t>civilinių</w:t>
      </w:r>
      <w:proofErr w:type="spellEnd"/>
      <w:r w:rsidRPr="00B14C89">
        <w:rPr>
          <w:rFonts w:ascii="Times New Roman" w:hAnsi="Times New Roman" w:cs="Times New Roman"/>
          <w:i/>
          <w:iCs/>
        </w:rPr>
        <w:t xml:space="preserve"> </w:t>
      </w:r>
      <w:proofErr w:type="spellStart"/>
      <w:r w:rsidRPr="00B14C89">
        <w:rPr>
          <w:rFonts w:ascii="Times New Roman" w:hAnsi="Times New Roman" w:cs="Times New Roman"/>
          <w:i/>
          <w:iCs/>
        </w:rPr>
        <w:t>aspektų</w:t>
      </w:r>
      <w:proofErr w:type="spellEnd"/>
      <w:r w:rsidRPr="007919E2">
        <w:rPr>
          <w:rFonts w:ascii="Times New Roman" w:hAnsi="Times New Roman" w:cs="Times New Roman"/>
        </w:rPr>
        <w:t xml:space="preserve">”. </w:t>
      </w:r>
      <w:r w:rsidRPr="00A5001A">
        <w:rPr>
          <w:rFonts w:ascii="Times New Roman" w:hAnsi="Times New Roman" w:cs="Times New Roman"/>
          <w:color w:val="4472C4" w:themeColor="accent1"/>
        </w:rPr>
        <w:t>In force in Lithuania since 1/09/2002</w:t>
      </w:r>
    </w:p>
    <w:p w14:paraId="0DFE6B6E" w14:textId="3F9208F5" w:rsidR="004942CE" w:rsidRPr="007919E2" w:rsidRDefault="004942CE" w:rsidP="008A76E4">
      <w:pPr>
        <w:pStyle w:val="ListParagraph"/>
        <w:numPr>
          <w:ilvl w:val="0"/>
          <w:numId w:val="16"/>
        </w:numPr>
        <w:jc w:val="both"/>
        <w:rPr>
          <w:rFonts w:ascii="Times New Roman" w:hAnsi="Times New Roman" w:cs="Times New Roman"/>
          <w:b/>
          <w:bCs/>
        </w:rPr>
      </w:pPr>
      <w:r w:rsidRPr="007919E2">
        <w:rPr>
          <w:rFonts w:ascii="Times New Roman" w:hAnsi="Times New Roman" w:cs="Times New Roman"/>
          <w:b/>
          <w:bCs/>
        </w:rPr>
        <w:t>Convention of 19 October 1996 on Jurisdiction, Applicable Law, Recognition, Enforcement and Co-operation in Respect of Parental Responsibility and Measures for the Protection of Children</w:t>
      </w:r>
    </w:p>
    <w:p w14:paraId="606E74CC" w14:textId="2801E329" w:rsidR="00161434" w:rsidRPr="00A5001A" w:rsidRDefault="00161434" w:rsidP="00161434">
      <w:pPr>
        <w:pStyle w:val="ListParagraph"/>
        <w:jc w:val="both"/>
        <w:rPr>
          <w:rFonts w:ascii="Times New Roman" w:hAnsi="Times New Roman" w:cs="Times New Roman"/>
          <w:color w:val="4472C4" w:themeColor="accent1"/>
        </w:rPr>
      </w:pPr>
      <w:r w:rsidRPr="007919E2">
        <w:rPr>
          <w:rFonts w:ascii="Times New Roman" w:hAnsi="Times New Roman" w:cs="Times New Roman"/>
        </w:rPr>
        <w:t>/ “</w:t>
      </w:r>
      <w:proofErr w:type="spellStart"/>
      <w:r w:rsidRPr="00B14C89">
        <w:rPr>
          <w:rFonts w:ascii="Times New Roman" w:hAnsi="Times New Roman" w:cs="Times New Roman"/>
          <w:i/>
          <w:iCs/>
        </w:rPr>
        <w:t>Konvencija</w:t>
      </w:r>
      <w:proofErr w:type="spellEnd"/>
      <w:r w:rsidRPr="00B14C89">
        <w:rPr>
          <w:rFonts w:ascii="Times New Roman" w:hAnsi="Times New Roman" w:cs="Times New Roman"/>
          <w:i/>
          <w:iCs/>
        </w:rPr>
        <w:t xml:space="preserve"> </w:t>
      </w:r>
      <w:proofErr w:type="spellStart"/>
      <w:r w:rsidRPr="00B14C89">
        <w:rPr>
          <w:rFonts w:ascii="Times New Roman" w:hAnsi="Times New Roman" w:cs="Times New Roman"/>
          <w:i/>
          <w:iCs/>
        </w:rPr>
        <w:t>dėl</w:t>
      </w:r>
      <w:proofErr w:type="spellEnd"/>
      <w:r w:rsidRPr="00B14C89">
        <w:rPr>
          <w:rFonts w:ascii="Times New Roman" w:hAnsi="Times New Roman" w:cs="Times New Roman"/>
          <w:i/>
          <w:iCs/>
        </w:rPr>
        <w:t xml:space="preserve"> </w:t>
      </w:r>
      <w:proofErr w:type="spellStart"/>
      <w:r w:rsidRPr="00B14C89">
        <w:rPr>
          <w:rFonts w:ascii="Times New Roman" w:hAnsi="Times New Roman" w:cs="Times New Roman"/>
          <w:i/>
          <w:iCs/>
        </w:rPr>
        <w:t>jurisdikcijos</w:t>
      </w:r>
      <w:proofErr w:type="spellEnd"/>
      <w:r w:rsidRPr="00B14C89">
        <w:rPr>
          <w:rFonts w:ascii="Times New Roman" w:hAnsi="Times New Roman" w:cs="Times New Roman"/>
          <w:i/>
          <w:iCs/>
        </w:rPr>
        <w:t xml:space="preserve">, </w:t>
      </w:r>
      <w:proofErr w:type="spellStart"/>
      <w:r w:rsidRPr="00B14C89">
        <w:rPr>
          <w:rFonts w:ascii="Times New Roman" w:hAnsi="Times New Roman" w:cs="Times New Roman"/>
          <w:i/>
          <w:iCs/>
        </w:rPr>
        <w:t>taikytinos</w:t>
      </w:r>
      <w:proofErr w:type="spellEnd"/>
      <w:r w:rsidRPr="00B14C89">
        <w:rPr>
          <w:rFonts w:ascii="Times New Roman" w:hAnsi="Times New Roman" w:cs="Times New Roman"/>
          <w:i/>
          <w:iCs/>
        </w:rPr>
        <w:t xml:space="preserve"> </w:t>
      </w:r>
      <w:proofErr w:type="spellStart"/>
      <w:r w:rsidRPr="00B14C89">
        <w:rPr>
          <w:rFonts w:ascii="Times New Roman" w:hAnsi="Times New Roman" w:cs="Times New Roman"/>
          <w:i/>
          <w:iCs/>
        </w:rPr>
        <w:t>teisės</w:t>
      </w:r>
      <w:proofErr w:type="spellEnd"/>
      <w:r w:rsidRPr="00B14C89">
        <w:rPr>
          <w:rFonts w:ascii="Times New Roman" w:hAnsi="Times New Roman" w:cs="Times New Roman"/>
          <w:i/>
          <w:iCs/>
        </w:rPr>
        <w:t xml:space="preserve">, </w:t>
      </w:r>
      <w:proofErr w:type="spellStart"/>
      <w:r w:rsidRPr="00B14C89">
        <w:rPr>
          <w:rFonts w:ascii="Times New Roman" w:hAnsi="Times New Roman" w:cs="Times New Roman"/>
          <w:i/>
          <w:iCs/>
        </w:rPr>
        <w:t>pripažinimo</w:t>
      </w:r>
      <w:proofErr w:type="spellEnd"/>
      <w:r w:rsidRPr="00B14C89">
        <w:rPr>
          <w:rFonts w:ascii="Times New Roman" w:hAnsi="Times New Roman" w:cs="Times New Roman"/>
          <w:i/>
          <w:iCs/>
        </w:rPr>
        <w:t xml:space="preserve">, </w:t>
      </w:r>
      <w:proofErr w:type="spellStart"/>
      <w:r w:rsidRPr="00B14C89">
        <w:rPr>
          <w:rFonts w:ascii="Times New Roman" w:hAnsi="Times New Roman" w:cs="Times New Roman"/>
          <w:i/>
          <w:iCs/>
        </w:rPr>
        <w:t>vykdymo</w:t>
      </w:r>
      <w:proofErr w:type="spellEnd"/>
      <w:r w:rsidRPr="00B14C89">
        <w:rPr>
          <w:rFonts w:ascii="Times New Roman" w:hAnsi="Times New Roman" w:cs="Times New Roman"/>
          <w:i/>
          <w:iCs/>
        </w:rPr>
        <w:t xml:space="preserve"> </w:t>
      </w:r>
      <w:proofErr w:type="spellStart"/>
      <w:r w:rsidRPr="00B14C89">
        <w:rPr>
          <w:rFonts w:ascii="Times New Roman" w:hAnsi="Times New Roman" w:cs="Times New Roman"/>
          <w:i/>
          <w:iCs/>
        </w:rPr>
        <w:t>ir</w:t>
      </w:r>
      <w:proofErr w:type="spellEnd"/>
      <w:r w:rsidRPr="00B14C89">
        <w:rPr>
          <w:rFonts w:ascii="Times New Roman" w:hAnsi="Times New Roman" w:cs="Times New Roman"/>
          <w:i/>
          <w:iCs/>
        </w:rPr>
        <w:t xml:space="preserve"> </w:t>
      </w:r>
      <w:proofErr w:type="spellStart"/>
      <w:r w:rsidRPr="00B14C89">
        <w:rPr>
          <w:rFonts w:ascii="Times New Roman" w:hAnsi="Times New Roman" w:cs="Times New Roman"/>
          <w:i/>
          <w:iCs/>
        </w:rPr>
        <w:t>bendradarbiavimo</w:t>
      </w:r>
      <w:proofErr w:type="spellEnd"/>
      <w:r w:rsidRPr="00B14C89">
        <w:rPr>
          <w:rFonts w:ascii="Times New Roman" w:hAnsi="Times New Roman" w:cs="Times New Roman"/>
          <w:i/>
          <w:iCs/>
        </w:rPr>
        <w:t xml:space="preserve"> </w:t>
      </w:r>
      <w:proofErr w:type="spellStart"/>
      <w:r w:rsidRPr="00B14C89">
        <w:rPr>
          <w:rFonts w:ascii="Times New Roman" w:hAnsi="Times New Roman" w:cs="Times New Roman"/>
          <w:i/>
          <w:iCs/>
        </w:rPr>
        <w:t>tėvų</w:t>
      </w:r>
      <w:proofErr w:type="spellEnd"/>
      <w:r w:rsidRPr="00B14C89">
        <w:rPr>
          <w:rFonts w:ascii="Times New Roman" w:hAnsi="Times New Roman" w:cs="Times New Roman"/>
          <w:i/>
          <w:iCs/>
        </w:rPr>
        <w:t xml:space="preserve"> </w:t>
      </w:r>
      <w:proofErr w:type="spellStart"/>
      <w:r w:rsidRPr="00B14C89">
        <w:rPr>
          <w:rFonts w:ascii="Times New Roman" w:hAnsi="Times New Roman" w:cs="Times New Roman"/>
          <w:i/>
          <w:iCs/>
        </w:rPr>
        <w:t>pareigų</w:t>
      </w:r>
      <w:proofErr w:type="spellEnd"/>
      <w:r w:rsidRPr="00B14C89">
        <w:rPr>
          <w:rFonts w:ascii="Times New Roman" w:hAnsi="Times New Roman" w:cs="Times New Roman"/>
          <w:i/>
          <w:iCs/>
        </w:rPr>
        <w:t xml:space="preserve"> </w:t>
      </w:r>
      <w:proofErr w:type="spellStart"/>
      <w:r w:rsidRPr="00B14C89">
        <w:rPr>
          <w:rFonts w:ascii="Times New Roman" w:hAnsi="Times New Roman" w:cs="Times New Roman"/>
          <w:i/>
          <w:iCs/>
        </w:rPr>
        <w:t>ir</w:t>
      </w:r>
      <w:proofErr w:type="spellEnd"/>
      <w:r w:rsidRPr="00B14C89">
        <w:rPr>
          <w:rFonts w:ascii="Times New Roman" w:hAnsi="Times New Roman" w:cs="Times New Roman"/>
          <w:i/>
          <w:iCs/>
        </w:rPr>
        <w:t xml:space="preserve"> </w:t>
      </w:r>
      <w:proofErr w:type="spellStart"/>
      <w:r w:rsidRPr="00B14C89">
        <w:rPr>
          <w:rFonts w:ascii="Times New Roman" w:hAnsi="Times New Roman" w:cs="Times New Roman"/>
          <w:i/>
          <w:iCs/>
        </w:rPr>
        <w:t>vaikų</w:t>
      </w:r>
      <w:proofErr w:type="spellEnd"/>
      <w:r w:rsidRPr="00B14C89">
        <w:rPr>
          <w:rFonts w:ascii="Times New Roman" w:hAnsi="Times New Roman" w:cs="Times New Roman"/>
          <w:i/>
          <w:iCs/>
        </w:rPr>
        <w:t xml:space="preserve"> </w:t>
      </w:r>
      <w:proofErr w:type="spellStart"/>
      <w:r w:rsidRPr="00B14C89">
        <w:rPr>
          <w:rFonts w:ascii="Times New Roman" w:hAnsi="Times New Roman" w:cs="Times New Roman"/>
          <w:i/>
          <w:iCs/>
        </w:rPr>
        <w:t>apsaugos</w:t>
      </w:r>
      <w:proofErr w:type="spellEnd"/>
      <w:r w:rsidRPr="00B14C89">
        <w:rPr>
          <w:rFonts w:ascii="Times New Roman" w:hAnsi="Times New Roman" w:cs="Times New Roman"/>
          <w:i/>
          <w:iCs/>
        </w:rPr>
        <w:t xml:space="preserve"> </w:t>
      </w:r>
      <w:proofErr w:type="spellStart"/>
      <w:r w:rsidRPr="00B14C89">
        <w:rPr>
          <w:rFonts w:ascii="Times New Roman" w:hAnsi="Times New Roman" w:cs="Times New Roman"/>
          <w:i/>
          <w:iCs/>
        </w:rPr>
        <w:t>priemonių</w:t>
      </w:r>
      <w:proofErr w:type="spellEnd"/>
      <w:r w:rsidRPr="00B14C89">
        <w:rPr>
          <w:rFonts w:ascii="Times New Roman" w:hAnsi="Times New Roman" w:cs="Times New Roman"/>
          <w:i/>
          <w:iCs/>
        </w:rPr>
        <w:t xml:space="preserve"> </w:t>
      </w:r>
      <w:proofErr w:type="spellStart"/>
      <w:r w:rsidRPr="00B14C89">
        <w:rPr>
          <w:rFonts w:ascii="Times New Roman" w:hAnsi="Times New Roman" w:cs="Times New Roman"/>
          <w:i/>
          <w:iCs/>
        </w:rPr>
        <w:t>srityje</w:t>
      </w:r>
      <w:proofErr w:type="spellEnd"/>
      <w:r w:rsidRPr="007919E2">
        <w:rPr>
          <w:rFonts w:ascii="Times New Roman" w:hAnsi="Times New Roman" w:cs="Times New Roman"/>
        </w:rPr>
        <w:t xml:space="preserve">”. </w:t>
      </w:r>
      <w:r w:rsidRPr="00A5001A">
        <w:rPr>
          <w:rFonts w:ascii="Times New Roman" w:hAnsi="Times New Roman" w:cs="Times New Roman"/>
          <w:color w:val="4472C4" w:themeColor="accent1"/>
        </w:rPr>
        <w:t>In force in Lithuania since 1/09/2004</w:t>
      </w:r>
    </w:p>
    <w:p w14:paraId="3EB2B9D6" w14:textId="6B745A75" w:rsidR="004942CE" w:rsidRPr="00A5001A" w:rsidRDefault="004942CE" w:rsidP="008A76E4">
      <w:pPr>
        <w:pStyle w:val="ListParagraph"/>
        <w:numPr>
          <w:ilvl w:val="0"/>
          <w:numId w:val="16"/>
        </w:numPr>
        <w:jc w:val="both"/>
        <w:rPr>
          <w:rFonts w:ascii="Times New Roman" w:hAnsi="Times New Roman" w:cs="Times New Roman"/>
        </w:rPr>
      </w:pPr>
      <w:r w:rsidRPr="00A5001A">
        <w:rPr>
          <w:rFonts w:ascii="Times New Roman" w:hAnsi="Times New Roman" w:cs="Times New Roman"/>
        </w:rPr>
        <w:t>Convention of 1 June 1970 on the Recognition of Divorces and Legal Separations</w:t>
      </w:r>
    </w:p>
    <w:p w14:paraId="69BF2E0B" w14:textId="01185A00" w:rsidR="00161434" w:rsidRPr="007919E2" w:rsidRDefault="00985331" w:rsidP="00161434">
      <w:pPr>
        <w:pStyle w:val="ListParagraph"/>
        <w:jc w:val="both"/>
        <w:rPr>
          <w:rFonts w:ascii="Times New Roman" w:hAnsi="Times New Roman" w:cs="Times New Roman"/>
        </w:rPr>
      </w:pPr>
      <w:r w:rsidRPr="007919E2">
        <w:rPr>
          <w:rFonts w:ascii="Times New Roman" w:hAnsi="Times New Roman" w:cs="Times New Roman"/>
        </w:rPr>
        <w:t>/</w:t>
      </w:r>
      <w:r w:rsidR="00B14C89">
        <w:rPr>
          <w:rFonts w:ascii="Times New Roman" w:hAnsi="Times New Roman" w:cs="Times New Roman"/>
        </w:rPr>
        <w:t xml:space="preserve"> “</w:t>
      </w:r>
      <w:r w:rsidR="00B204AE" w:rsidRPr="00B14C89">
        <w:rPr>
          <w:rFonts w:ascii="Times New Roman" w:hAnsi="Times New Roman" w:cs="Times New Roman"/>
          <w:i/>
          <w:iCs/>
        </w:rPr>
        <w:t xml:space="preserve">1970 m. </w:t>
      </w:r>
      <w:proofErr w:type="spellStart"/>
      <w:r w:rsidR="00B204AE" w:rsidRPr="00B14C89">
        <w:rPr>
          <w:rFonts w:ascii="Times New Roman" w:hAnsi="Times New Roman" w:cs="Times New Roman"/>
          <w:i/>
          <w:iCs/>
        </w:rPr>
        <w:t>birželio</w:t>
      </w:r>
      <w:proofErr w:type="spellEnd"/>
      <w:r w:rsidR="00B204AE" w:rsidRPr="00B14C89">
        <w:rPr>
          <w:rFonts w:ascii="Times New Roman" w:hAnsi="Times New Roman" w:cs="Times New Roman"/>
          <w:i/>
          <w:iCs/>
        </w:rPr>
        <w:t xml:space="preserve"> 1 d. Hagos </w:t>
      </w:r>
      <w:proofErr w:type="spellStart"/>
      <w:r w:rsidR="00B204AE" w:rsidRPr="00B14C89">
        <w:rPr>
          <w:rFonts w:ascii="Times New Roman" w:hAnsi="Times New Roman" w:cs="Times New Roman"/>
          <w:i/>
          <w:iCs/>
        </w:rPr>
        <w:t>konvencija</w:t>
      </w:r>
      <w:proofErr w:type="spellEnd"/>
      <w:r w:rsidR="00B204AE" w:rsidRPr="00B14C89">
        <w:rPr>
          <w:rFonts w:ascii="Times New Roman" w:hAnsi="Times New Roman" w:cs="Times New Roman"/>
          <w:i/>
          <w:iCs/>
        </w:rPr>
        <w:t xml:space="preserve"> </w:t>
      </w:r>
      <w:proofErr w:type="spellStart"/>
      <w:r w:rsidR="00B204AE" w:rsidRPr="00B14C89">
        <w:rPr>
          <w:rFonts w:ascii="Times New Roman" w:hAnsi="Times New Roman" w:cs="Times New Roman"/>
          <w:i/>
          <w:iCs/>
        </w:rPr>
        <w:t>dėl</w:t>
      </w:r>
      <w:proofErr w:type="spellEnd"/>
      <w:r w:rsidR="00B204AE" w:rsidRPr="00B14C89">
        <w:rPr>
          <w:rFonts w:ascii="Times New Roman" w:hAnsi="Times New Roman" w:cs="Times New Roman"/>
          <w:i/>
          <w:iCs/>
        </w:rPr>
        <w:t xml:space="preserve"> </w:t>
      </w:r>
      <w:proofErr w:type="spellStart"/>
      <w:r w:rsidR="00B204AE" w:rsidRPr="00B14C89">
        <w:rPr>
          <w:rFonts w:ascii="Times New Roman" w:hAnsi="Times New Roman" w:cs="Times New Roman"/>
          <w:i/>
          <w:iCs/>
        </w:rPr>
        <w:t>santuokos</w:t>
      </w:r>
      <w:proofErr w:type="spellEnd"/>
      <w:r w:rsidR="00B204AE" w:rsidRPr="00B14C89">
        <w:rPr>
          <w:rFonts w:ascii="Times New Roman" w:hAnsi="Times New Roman" w:cs="Times New Roman"/>
          <w:i/>
          <w:iCs/>
        </w:rPr>
        <w:t xml:space="preserve"> </w:t>
      </w:r>
      <w:proofErr w:type="spellStart"/>
      <w:r w:rsidR="00B204AE" w:rsidRPr="00B14C89">
        <w:rPr>
          <w:rFonts w:ascii="Times New Roman" w:hAnsi="Times New Roman" w:cs="Times New Roman"/>
          <w:i/>
          <w:iCs/>
        </w:rPr>
        <w:t>nutraukimo</w:t>
      </w:r>
      <w:proofErr w:type="spellEnd"/>
      <w:r w:rsidR="00B204AE" w:rsidRPr="00B14C89">
        <w:rPr>
          <w:rFonts w:ascii="Times New Roman" w:hAnsi="Times New Roman" w:cs="Times New Roman"/>
          <w:i/>
          <w:iCs/>
        </w:rPr>
        <w:t xml:space="preserve"> </w:t>
      </w:r>
      <w:proofErr w:type="spellStart"/>
      <w:r w:rsidR="00B204AE" w:rsidRPr="00B14C89">
        <w:rPr>
          <w:rFonts w:ascii="Times New Roman" w:hAnsi="Times New Roman" w:cs="Times New Roman"/>
          <w:i/>
          <w:iCs/>
        </w:rPr>
        <w:t>ir</w:t>
      </w:r>
      <w:proofErr w:type="spellEnd"/>
      <w:r w:rsidR="00B204AE" w:rsidRPr="00B14C89">
        <w:rPr>
          <w:rFonts w:ascii="Times New Roman" w:hAnsi="Times New Roman" w:cs="Times New Roman"/>
          <w:i/>
          <w:iCs/>
        </w:rPr>
        <w:t xml:space="preserve"> </w:t>
      </w:r>
      <w:proofErr w:type="spellStart"/>
      <w:r w:rsidR="00B204AE" w:rsidRPr="00B14C89">
        <w:rPr>
          <w:rFonts w:ascii="Times New Roman" w:hAnsi="Times New Roman" w:cs="Times New Roman"/>
          <w:i/>
          <w:iCs/>
        </w:rPr>
        <w:t>separacijos</w:t>
      </w:r>
      <w:proofErr w:type="spellEnd"/>
      <w:r w:rsidR="00B204AE" w:rsidRPr="00B14C89">
        <w:rPr>
          <w:rFonts w:ascii="Times New Roman" w:hAnsi="Times New Roman" w:cs="Times New Roman"/>
          <w:i/>
          <w:iCs/>
        </w:rPr>
        <w:t xml:space="preserve"> </w:t>
      </w:r>
      <w:proofErr w:type="spellStart"/>
      <w:r w:rsidR="00B204AE" w:rsidRPr="00B14C89">
        <w:rPr>
          <w:rFonts w:ascii="Times New Roman" w:hAnsi="Times New Roman" w:cs="Times New Roman"/>
          <w:i/>
          <w:iCs/>
        </w:rPr>
        <w:t>pripažinimo</w:t>
      </w:r>
      <w:proofErr w:type="spellEnd"/>
      <w:r w:rsidR="00B14C89">
        <w:rPr>
          <w:rFonts w:ascii="Times New Roman" w:hAnsi="Times New Roman" w:cs="Times New Roman"/>
        </w:rPr>
        <w:t>”</w:t>
      </w:r>
      <w:r w:rsidR="00B204AE" w:rsidRPr="007919E2">
        <w:rPr>
          <w:rFonts w:ascii="Times New Roman" w:hAnsi="Times New Roman" w:cs="Times New Roman"/>
        </w:rPr>
        <w:t xml:space="preserve">. </w:t>
      </w:r>
      <w:r w:rsidRPr="00A5001A">
        <w:rPr>
          <w:rFonts w:ascii="Times New Roman" w:hAnsi="Times New Roman" w:cs="Times New Roman"/>
          <w:color w:val="4472C4" w:themeColor="accent1"/>
        </w:rPr>
        <w:t xml:space="preserve">Lithuania is not </w:t>
      </w:r>
      <w:r w:rsidR="00F05FA6" w:rsidRPr="00A5001A">
        <w:rPr>
          <w:rFonts w:ascii="Times New Roman" w:hAnsi="Times New Roman" w:cs="Times New Roman"/>
          <w:color w:val="4472C4" w:themeColor="accent1"/>
        </w:rPr>
        <w:t xml:space="preserve">a </w:t>
      </w:r>
      <w:r w:rsidRPr="00A5001A">
        <w:rPr>
          <w:rFonts w:ascii="Times New Roman" w:hAnsi="Times New Roman" w:cs="Times New Roman"/>
          <w:color w:val="4472C4" w:themeColor="accent1"/>
        </w:rPr>
        <w:t>party to this Convention</w:t>
      </w:r>
    </w:p>
    <w:p w14:paraId="14E61E36" w14:textId="280C5FAA" w:rsidR="00161434" w:rsidRPr="007919E2" w:rsidRDefault="004942CE" w:rsidP="00161434">
      <w:pPr>
        <w:pStyle w:val="ListParagraph"/>
        <w:numPr>
          <w:ilvl w:val="0"/>
          <w:numId w:val="16"/>
        </w:numPr>
        <w:jc w:val="both"/>
        <w:rPr>
          <w:rFonts w:ascii="Times New Roman" w:hAnsi="Times New Roman" w:cs="Times New Roman"/>
          <w:b/>
          <w:bCs/>
        </w:rPr>
      </w:pPr>
      <w:r w:rsidRPr="007919E2">
        <w:rPr>
          <w:rFonts w:ascii="Times New Roman" w:hAnsi="Times New Roman" w:cs="Times New Roman"/>
          <w:b/>
          <w:bCs/>
        </w:rPr>
        <w:t>Convention of 23 November 2007 on the International Recovery of Child Support and Other Forms of Family Maintenance</w:t>
      </w:r>
    </w:p>
    <w:p w14:paraId="7DBEBFD1" w14:textId="42BAFD49" w:rsidR="00985331" w:rsidRPr="007919E2" w:rsidRDefault="00985331" w:rsidP="00985331">
      <w:pPr>
        <w:pStyle w:val="ListParagraph"/>
        <w:jc w:val="both"/>
        <w:rPr>
          <w:rFonts w:ascii="Times New Roman" w:hAnsi="Times New Roman" w:cs="Times New Roman"/>
        </w:rPr>
      </w:pPr>
      <w:r w:rsidRPr="007919E2">
        <w:rPr>
          <w:rFonts w:ascii="Times New Roman" w:hAnsi="Times New Roman" w:cs="Times New Roman"/>
        </w:rPr>
        <w:t xml:space="preserve">/ </w:t>
      </w:r>
      <w:r w:rsidR="00F05FA6" w:rsidRPr="007919E2">
        <w:rPr>
          <w:rFonts w:ascii="Times New Roman" w:hAnsi="Times New Roman" w:cs="Times New Roman"/>
        </w:rPr>
        <w:t>“</w:t>
      </w:r>
      <w:r w:rsidR="00F05FA6" w:rsidRPr="00B14C89">
        <w:rPr>
          <w:rFonts w:ascii="Times New Roman" w:hAnsi="Times New Roman" w:cs="Times New Roman"/>
          <w:i/>
          <w:iCs/>
        </w:rPr>
        <w:t xml:space="preserve">2007 m. </w:t>
      </w:r>
      <w:proofErr w:type="spellStart"/>
      <w:r w:rsidR="00F05FA6" w:rsidRPr="00B14C89">
        <w:rPr>
          <w:rFonts w:ascii="Times New Roman" w:hAnsi="Times New Roman" w:cs="Times New Roman"/>
          <w:i/>
          <w:iCs/>
        </w:rPr>
        <w:t>lapkričio</w:t>
      </w:r>
      <w:proofErr w:type="spellEnd"/>
      <w:r w:rsidR="00F05FA6" w:rsidRPr="00B14C89">
        <w:rPr>
          <w:rFonts w:ascii="Times New Roman" w:hAnsi="Times New Roman" w:cs="Times New Roman"/>
          <w:i/>
          <w:iCs/>
        </w:rPr>
        <w:t xml:space="preserve"> 23 d. </w:t>
      </w:r>
      <w:proofErr w:type="spellStart"/>
      <w:r w:rsidR="00F05FA6" w:rsidRPr="00B14C89">
        <w:rPr>
          <w:rFonts w:ascii="Times New Roman" w:hAnsi="Times New Roman" w:cs="Times New Roman"/>
          <w:i/>
          <w:iCs/>
        </w:rPr>
        <w:t>Protokolas</w:t>
      </w:r>
      <w:proofErr w:type="spellEnd"/>
      <w:r w:rsidR="00F05FA6" w:rsidRPr="00B14C89">
        <w:rPr>
          <w:rFonts w:ascii="Times New Roman" w:hAnsi="Times New Roman" w:cs="Times New Roman"/>
          <w:i/>
          <w:iCs/>
        </w:rPr>
        <w:t xml:space="preserve"> </w:t>
      </w:r>
      <w:proofErr w:type="spellStart"/>
      <w:r w:rsidR="00F05FA6" w:rsidRPr="00B14C89">
        <w:rPr>
          <w:rFonts w:ascii="Times New Roman" w:hAnsi="Times New Roman" w:cs="Times New Roman"/>
          <w:i/>
          <w:iCs/>
        </w:rPr>
        <w:t>dėl</w:t>
      </w:r>
      <w:proofErr w:type="spellEnd"/>
      <w:r w:rsidR="00F05FA6" w:rsidRPr="00B14C89">
        <w:rPr>
          <w:rFonts w:ascii="Times New Roman" w:hAnsi="Times New Roman" w:cs="Times New Roman"/>
          <w:i/>
          <w:iCs/>
        </w:rPr>
        <w:t xml:space="preserve"> </w:t>
      </w:r>
      <w:proofErr w:type="spellStart"/>
      <w:r w:rsidR="00F05FA6" w:rsidRPr="00B14C89">
        <w:rPr>
          <w:rFonts w:ascii="Times New Roman" w:hAnsi="Times New Roman" w:cs="Times New Roman"/>
          <w:i/>
          <w:iCs/>
        </w:rPr>
        <w:t>išlaikymo</w:t>
      </w:r>
      <w:proofErr w:type="spellEnd"/>
      <w:r w:rsidR="00F05FA6" w:rsidRPr="00B14C89">
        <w:rPr>
          <w:rFonts w:ascii="Times New Roman" w:hAnsi="Times New Roman" w:cs="Times New Roman"/>
          <w:i/>
          <w:iCs/>
        </w:rPr>
        <w:t xml:space="preserve"> </w:t>
      </w:r>
      <w:proofErr w:type="spellStart"/>
      <w:r w:rsidR="00F05FA6" w:rsidRPr="00B14C89">
        <w:rPr>
          <w:rFonts w:ascii="Times New Roman" w:hAnsi="Times New Roman" w:cs="Times New Roman"/>
          <w:i/>
          <w:iCs/>
        </w:rPr>
        <w:t>prievolėms</w:t>
      </w:r>
      <w:proofErr w:type="spellEnd"/>
      <w:r w:rsidR="00F05FA6" w:rsidRPr="00B14C89">
        <w:rPr>
          <w:rFonts w:ascii="Times New Roman" w:hAnsi="Times New Roman" w:cs="Times New Roman"/>
          <w:i/>
          <w:iCs/>
        </w:rPr>
        <w:t xml:space="preserve"> </w:t>
      </w:r>
      <w:proofErr w:type="spellStart"/>
      <w:r w:rsidR="00F05FA6" w:rsidRPr="00B14C89">
        <w:rPr>
          <w:rFonts w:ascii="Times New Roman" w:hAnsi="Times New Roman" w:cs="Times New Roman"/>
          <w:i/>
          <w:iCs/>
        </w:rPr>
        <w:t>taikytinos</w:t>
      </w:r>
      <w:proofErr w:type="spellEnd"/>
      <w:r w:rsidR="00F05FA6" w:rsidRPr="00B14C89">
        <w:rPr>
          <w:rFonts w:ascii="Times New Roman" w:hAnsi="Times New Roman" w:cs="Times New Roman"/>
          <w:i/>
          <w:iCs/>
        </w:rPr>
        <w:t xml:space="preserve"> </w:t>
      </w:r>
      <w:proofErr w:type="spellStart"/>
      <w:r w:rsidR="00F05FA6" w:rsidRPr="00B14C89">
        <w:rPr>
          <w:rFonts w:ascii="Times New Roman" w:hAnsi="Times New Roman" w:cs="Times New Roman"/>
          <w:i/>
          <w:iCs/>
        </w:rPr>
        <w:t>teisės</w:t>
      </w:r>
      <w:proofErr w:type="spellEnd"/>
      <w:r w:rsidR="00F05FA6" w:rsidRPr="007919E2">
        <w:rPr>
          <w:rFonts w:ascii="Times New Roman" w:hAnsi="Times New Roman" w:cs="Times New Roman"/>
        </w:rPr>
        <w:t xml:space="preserve">”. </w:t>
      </w:r>
      <w:r w:rsidRPr="00A5001A">
        <w:rPr>
          <w:rFonts w:ascii="Times New Roman" w:hAnsi="Times New Roman" w:cs="Times New Roman"/>
          <w:color w:val="4472C4" w:themeColor="accent1"/>
        </w:rPr>
        <w:t>Lithuania is bound by the EU accession. 1/08/2014</w:t>
      </w:r>
    </w:p>
    <w:p w14:paraId="3DEC531E" w14:textId="332F8D31" w:rsidR="004942CE" w:rsidRPr="007919E2" w:rsidRDefault="004942CE" w:rsidP="008A76E4">
      <w:pPr>
        <w:pStyle w:val="ListParagraph"/>
        <w:numPr>
          <w:ilvl w:val="0"/>
          <w:numId w:val="16"/>
        </w:numPr>
        <w:jc w:val="both"/>
        <w:rPr>
          <w:rFonts w:ascii="Times New Roman" w:hAnsi="Times New Roman" w:cs="Times New Roman"/>
        </w:rPr>
      </w:pPr>
      <w:r w:rsidRPr="007919E2">
        <w:rPr>
          <w:rFonts w:ascii="Times New Roman" w:hAnsi="Times New Roman" w:cs="Times New Roman"/>
        </w:rPr>
        <w:t>Convention of 13 January 2000 on the International Protection of Adults</w:t>
      </w:r>
    </w:p>
    <w:p w14:paraId="47D89ED3" w14:textId="08ECFB55" w:rsidR="00F05FA6" w:rsidRPr="007919E2" w:rsidRDefault="00F05FA6" w:rsidP="00F05FA6">
      <w:pPr>
        <w:pStyle w:val="ListParagraph"/>
        <w:jc w:val="both"/>
        <w:rPr>
          <w:rFonts w:ascii="Times New Roman" w:hAnsi="Times New Roman" w:cs="Times New Roman"/>
        </w:rPr>
      </w:pPr>
      <w:r w:rsidRPr="007919E2">
        <w:rPr>
          <w:rFonts w:ascii="Times New Roman" w:hAnsi="Times New Roman" w:cs="Times New Roman"/>
        </w:rPr>
        <w:t xml:space="preserve">/ </w:t>
      </w:r>
      <w:r w:rsidR="00B14C89">
        <w:rPr>
          <w:rFonts w:ascii="Times New Roman" w:hAnsi="Times New Roman" w:cs="Times New Roman"/>
        </w:rPr>
        <w:t>“</w:t>
      </w:r>
      <w:r w:rsidRPr="00B14C89">
        <w:rPr>
          <w:rFonts w:ascii="Times New Roman" w:hAnsi="Times New Roman" w:cs="Times New Roman"/>
          <w:i/>
          <w:iCs/>
        </w:rPr>
        <w:t xml:space="preserve">2000 m. </w:t>
      </w:r>
      <w:proofErr w:type="spellStart"/>
      <w:r w:rsidRPr="00B14C89">
        <w:rPr>
          <w:rFonts w:ascii="Times New Roman" w:hAnsi="Times New Roman" w:cs="Times New Roman"/>
          <w:i/>
          <w:iCs/>
        </w:rPr>
        <w:t>sausio</w:t>
      </w:r>
      <w:proofErr w:type="spellEnd"/>
      <w:r w:rsidRPr="00B14C89">
        <w:rPr>
          <w:rFonts w:ascii="Times New Roman" w:hAnsi="Times New Roman" w:cs="Times New Roman"/>
          <w:i/>
          <w:iCs/>
        </w:rPr>
        <w:t xml:space="preserve"> 13 d. </w:t>
      </w:r>
      <w:proofErr w:type="spellStart"/>
      <w:r w:rsidRPr="00B14C89">
        <w:rPr>
          <w:rFonts w:ascii="Times New Roman" w:hAnsi="Times New Roman" w:cs="Times New Roman"/>
          <w:i/>
          <w:iCs/>
        </w:rPr>
        <w:t>Konvencija</w:t>
      </w:r>
      <w:proofErr w:type="spellEnd"/>
      <w:r w:rsidRPr="00B14C89">
        <w:rPr>
          <w:rFonts w:ascii="Times New Roman" w:hAnsi="Times New Roman" w:cs="Times New Roman"/>
          <w:i/>
          <w:iCs/>
        </w:rPr>
        <w:t xml:space="preserve"> </w:t>
      </w:r>
      <w:proofErr w:type="spellStart"/>
      <w:r w:rsidRPr="00B14C89">
        <w:rPr>
          <w:rFonts w:ascii="Times New Roman" w:hAnsi="Times New Roman" w:cs="Times New Roman"/>
          <w:i/>
          <w:iCs/>
        </w:rPr>
        <w:t>dėl</w:t>
      </w:r>
      <w:proofErr w:type="spellEnd"/>
      <w:r w:rsidRPr="00B14C89">
        <w:rPr>
          <w:rFonts w:ascii="Times New Roman" w:hAnsi="Times New Roman" w:cs="Times New Roman"/>
          <w:i/>
          <w:iCs/>
        </w:rPr>
        <w:t xml:space="preserve"> </w:t>
      </w:r>
      <w:proofErr w:type="spellStart"/>
      <w:r w:rsidRPr="00B14C89">
        <w:rPr>
          <w:rFonts w:ascii="Times New Roman" w:hAnsi="Times New Roman" w:cs="Times New Roman"/>
          <w:i/>
          <w:iCs/>
        </w:rPr>
        <w:t>tarptautinės</w:t>
      </w:r>
      <w:proofErr w:type="spellEnd"/>
      <w:r w:rsidRPr="00B14C89">
        <w:rPr>
          <w:rFonts w:ascii="Times New Roman" w:hAnsi="Times New Roman" w:cs="Times New Roman"/>
          <w:i/>
          <w:iCs/>
        </w:rPr>
        <w:t xml:space="preserve"> </w:t>
      </w:r>
      <w:proofErr w:type="spellStart"/>
      <w:r w:rsidRPr="00B14C89">
        <w:rPr>
          <w:rFonts w:ascii="Times New Roman" w:hAnsi="Times New Roman" w:cs="Times New Roman"/>
          <w:i/>
          <w:iCs/>
        </w:rPr>
        <w:t>suaugusiųju</w:t>
      </w:r>
      <w:proofErr w:type="spellEnd"/>
      <w:r w:rsidRPr="00B14C89">
        <w:rPr>
          <w:rFonts w:ascii="Times New Roman" w:hAnsi="Times New Roman" w:cs="Times New Roman"/>
          <w:i/>
          <w:iCs/>
        </w:rPr>
        <w:t xml:space="preserve">̨ </w:t>
      </w:r>
      <w:proofErr w:type="spellStart"/>
      <w:r w:rsidRPr="00B14C89">
        <w:rPr>
          <w:rFonts w:ascii="Times New Roman" w:hAnsi="Times New Roman" w:cs="Times New Roman"/>
          <w:i/>
          <w:iCs/>
        </w:rPr>
        <w:t>apsaugos</w:t>
      </w:r>
      <w:proofErr w:type="spellEnd"/>
      <w:r w:rsidR="00B14C89">
        <w:rPr>
          <w:rFonts w:ascii="Times New Roman" w:hAnsi="Times New Roman" w:cs="Times New Roman"/>
        </w:rPr>
        <w:t>”</w:t>
      </w:r>
      <w:r w:rsidRPr="007919E2">
        <w:rPr>
          <w:rFonts w:ascii="Times New Roman" w:hAnsi="Times New Roman" w:cs="Times New Roman"/>
        </w:rPr>
        <w:t xml:space="preserve">. </w:t>
      </w:r>
      <w:r w:rsidRPr="00A5001A">
        <w:rPr>
          <w:rFonts w:ascii="Times New Roman" w:hAnsi="Times New Roman" w:cs="Times New Roman"/>
          <w:color w:val="4472C4" w:themeColor="accent1"/>
        </w:rPr>
        <w:t>Lithuania is not a party to this Convention</w:t>
      </w:r>
    </w:p>
    <w:p w14:paraId="424854FC" w14:textId="77777777" w:rsidR="00F05FA6" w:rsidRPr="00C544E3" w:rsidRDefault="00F05FA6" w:rsidP="00F05FA6">
      <w:pPr>
        <w:pStyle w:val="ListParagraph"/>
        <w:jc w:val="both"/>
        <w:rPr>
          <w:rFonts w:ascii="Times New Roman" w:hAnsi="Times New Roman" w:cs="Times New Roman"/>
        </w:rPr>
      </w:pPr>
    </w:p>
    <w:p w14:paraId="2E5F1940" w14:textId="2B26D861" w:rsidR="000508F4" w:rsidRDefault="000508F4" w:rsidP="008A76E4">
      <w:pPr>
        <w:pBdr>
          <w:bottom w:val="single" w:sz="6" w:space="1" w:color="auto"/>
        </w:pBdr>
        <w:jc w:val="both"/>
        <w:rPr>
          <w:rFonts w:ascii="Times New Roman" w:hAnsi="Times New Roman" w:cs="Times New Roman"/>
        </w:rPr>
      </w:pPr>
    </w:p>
    <w:p w14:paraId="40933EE6" w14:textId="77777777" w:rsidR="007919E2" w:rsidRDefault="007919E2">
      <w:pPr>
        <w:rPr>
          <w:rFonts w:ascii="Times New Roman" w:hAnsi="Times New Roman" w:cs="Times New Roman"/>
          <w:b/>
          <w:bCs/>
          <w:sz w:val="28"/>
          <w:szCs w:val="28"/>
        </w:rPr>
      </w:pPr>
      <w:r>
        <w:rPr>
          <w:rFonts w:ascii="Times New Roman" w:hAnsi="Times New Roman" w:cs="Times New Roman"/>
          <w:b/>
          <w:bCs/>
          <w:sz w:val="28"/>
          <w:szCs w:val="28"/>
        </w:rPr>
        <w:br w:type="page"/>
      </w:r>
    </w:p>
    <w:p w14:paraId="2ACC93D9" w14:textId="091332DF" w:rsidR="007919E2" w:rsidRPr="007919E2" w:rsidRDefault="007919E2" w:rsidP="007919E2">
      <w:pPr>
        <w:pBdr>
          <w:bottom w:val="single" w:sz="6" w:space="1" w:color="auto"/>
        </w:pBdr>
        <w:jc w:val="center"/>
        <w:rPr>
          <w:rFonts w:ascii="Times New Roman" w:hAnsi="Times New Roman" w:cs="Times New Roman"/>
          <w:b/>
          <w:bCs/>
          <w:sz w:val="28"/>
          <w:szCs w:val="28"/>
        </w:rPr>
      </w:pPr>
      <w:r w:rsidRPr="007919E2">
        <w:rPr>
          <w:rFonts w:ascii="Times New Roman" w:hAnsi="Times New Roman" w:cs="Times New Roman"/>
          <w:b/>
          <w:bCs/>
          <w:sz w:val="28"/>
          <w:szCs w:val="28"/>
        </w:rPr>
        <w:lastRenderedPageBreak/>
        <w:t>Table of Contents</w:t>
      </w:r>
    </w:p>
    <w:p w14:paraId="01BFE295" w14:textId="6BE0C5A2" w:rsidR="007919E2" w:rsidRDefault="007919E2" w:rsidP="008A76E4">
      <w:pPr>
        <w:pBdr>
          <w:bottom w:val="single" w:sz="6" w:space="1" w:color="auto"/>
        </w:pBdr>
        <w:jc w:val="both"/>
        <w:rPr>
          <w:rFonts w:ascii="Times New Roman" w:hAnsi="Times New Roman" w:cs="Times New Roman"/>
        </w:rPr>
      </w:pPr>
    </w:p>
    <w:p w14:paraId="304D0F61" w14:textId="6A6B18FA" w:rsidR="00EF7B49" w:rsidRDefault="007919E2">
      <w:pPr>
        <w:pStyle w:val="TOC2"/>
        <w:tabs>
          <w:tab w:val="left" w:pos="720"/>
          <w:tab w:val="right" w:leader="dot" w:pos="9016"/>
        </w:tabs>
        <w:rPr>
          <w:rFonts w:eastAsiaTheme="minorEastAsia"/>
          <w:noProof/>
          <w:sz w:val="24"/>
          <w:szCs w:val="24"/>
          <w:lang w:eastAsia="en-GB"/>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hyperlink w:anchor="_Toc122349470" w:history="1">
        <w:r w:rsidR="00EF7B49" w:rsidRPr="002B0A1D">
          <w:rPr>
            <w:rStyle w:val="Hyperlink"/>
            <w:rFonts w:ascii="Times New Roman" w:hAnsi="Times New Roman" w:cs="Times New Roman"/>
            <w:b/>
            <w:bCs/>
            <w:noProof/>
          </w:rPr>
          <w:t>I.</w:t>
        </w:r>
        <w:r w:rsidR="00EF7B49">
          <w:rPr>
            <w:rFonts w:eastAsiaTheme="minorEastAsia"/>
            <w:noProof/>
            <w:sz w:val="24"/>
            <w:szCs w:val="24"/>
            <w:lang w:eastAsia="en-GB"/>
          </w:rPr>
          <w:tab/>
        </w:r>
        <w:r w:rsidR="00EF7B49" w:rsidRPr="002B0A1D">
          <w:rPr>
            <w:rStyle w:val="Hyperlink"/>
            <w:rFonts w:ascii="Times New Roman" w:hAnsi="Times New Roman" w:cs="Times New Roman"/>
            <w:b/>
            <w:bCs/>
            <w:noProof/>
          </w:rPr>
          <w:t>General questions</w:t>
        </w:r>
        <w:r w:rsidR="00EF7B49">
          <w:rPr>
            <w:noProof/>
            <w:webHidden/>
          </w:rPr>
          <w:tab/>
        </w:r>
        <w:r w:rsidR="00EF7B49">
          <w:rPr>
            <w:noProof/>
            <w:webHidden/>
          </w:rPr>
          <w:fldChar w:fldCharType="begin"/>
        </w:r>
        <w:r w:rsidR="00EF7B49">
          <w:rPr>
            <w:noProof/>
            <w:webHidden/>
          </w:rPr>
          <w:instrText xml:space="preserve"> PAGEREF _Toc122349470 \h </w:instrText>
        </w:r>
        <w:r w:rsidR="00EF7B49">
          <w:rPr>
            <w:noProof/>
            <w:webHidden/>
          </w:rPr>
        </w:r>
        <w:r w:rsidR="00EF7B49">
          <w:rPr>
            <w:noProof/>
            <w:webHidden/>
          </w:rPr>
          <w:fldChar w:fldCharType="separate"/>
        </w:r>
        <w:r w:rsidR="00EF7B49">
          <w:rPr>
            <w:noProof/>
            <w:webHidden/>
          </w:rPr>
          <w:t>3</w:t>
        </w:r>
        <w:r w:rsidR="00EF7B49">
          <w:rPr>
            <w:noProof/>
            <w:webHidden/>
          </w:rPr>
          <w:fldChar w:fldCharType="end"/>
        </w:r>
      </w:hyperlink>
    </w:p>
    <w:p w14:paraId="1753D388" w14:textId="2002C989" w:rsidR="00EF7B49" w:rsidRDefault="00EF7B49">
      <w:pPr>
        <w:pStyle w:val="TOC2"/>
        <w:tabs>
          <w:tab w:val="left" w:pos="720"/>
          <w:tab w:val="right" w:leader="dot" w:pos="9016"/>
        </w:tabs>
        <w:rPr>
          <w:rFonts w:eastAsiaTheme="minorEastAsia"/>
          <w:noProof/>
          <w:sz w:val="24"/>
          <w:szCs w:val="24"/>
          <w:lang w:eastAsia="en-GB"/>
        </w:rPr>
      </w:pPr>
      <w:hyperlink w:anchor="_Toc122349471" w:history="1">
        <w:r w:rsidRPr="002B0A1D">
          <w:rPr>
            <w:rStyle w:val="Hyperlink"/>
            <w:rFonts w:ascii="Times New Roman" w:hAnsi="Times New Roman" w:cs="Times New Roman"/>
            <w:b/>
            <w:bCs/>
            <w:noProof/>
          </w:rPr>
          <w:t>II.</w:t>
        </w:r>
        <w:r>
          <w:rPr>
            <w:rFonts w:eastAsiaTheme="minorEastAsia"/>
            <w:noProof/>
            <w:sz w:val="24"/>
            <w:szCs w:val="24"/>
            <w:lang w:eastAsia="en-GB"/>
          </w:rPr>
          <w:tab/>
        </w:r>
        <w:r w:rsidRPr="002B0A1D">
          <w:rPr>
            <w:rStyle w:val="Hyperlink"/>
            <w:rFonts w:ascii="Times New Roman" w:hAnsi="Times New Roman" w:cs="Times New Roman"/>
            <w:b/>
            <w:bCs/>
            <w:noProof/>
          </w:rPr>
          <w:t>Hague Convention of 25 October 1980 on the Civil Aspects of International Child Abduction</w:t>
        </w:r>
        <w:r>
          <w:rPr>
            <w:noProof/>
            <w:webHidden/>
          </w:rPr>
          <w:tab/>
        </w:r>
        <w:r>
          <w:rPr>
            <w:noProof/>
            <w:webHidden/>
          </w:rPr>
          <w:fldChar w:fldCharType="begin"/>
        </w:r>
        <w:r>
          <w:rPr>
            <w:noProof/>
            <w:webHidden/>
          </w:rPr>
          <w:instrText xml:space="preserve"> PAGEREF _Toc122349471 \h </w:instrText>
        </w:r>
        <w:r>
          <w:rPr>
            <w:noProof/>
            <w:webHidden/>
          </w:rPr>
        </w:r>
        <w:r>
          <w:rPr>
            <w:noProof/>
            <w:webHidden/>
          </w:rPr>
          <w:fldChar w:fldCharType="separate"/>
        </w:r>
        <w:r>
          <w:rPr>
            <w:noProof/>
            <w:webHidden/>
          </w:rPr>
          <w:t>5</w:t>
        </w:r>
        <w:r>
          <w:rPr>
            <w:noProof/>
            <w:webHidden/>
          </w:rPr>
          <w:fldChar w:fldCharType="end"/>
        </w:r>
      </w:hyperlink>
    </w:p>
    <w:p w14:paraId="05E6D357" w14:textId="6D2836D7" w:rsidR="00EF7B49" w:rsidRDefault="00EF7B49">
      <w:pPr>
        <w:pStyle w:val="TOC2"/>
        <w:tabs>
          <w:tab w:val="right" w:leader="dot" w:pos="9016"/>
        </w:tabs>
        <w:rPr>
          <w:rFonts w:eastAsiaTheme="minorEastAsia"/>
          <w:noProof/>
          <w:sz w:val="24"/>
          <w:szCs w:val="24"/>
          <w:lang w:eastAsia="en-GB"/>
        </w:rPr>
      </w:pPr>
      <w:hyperlink w:anchor="_Toc122349472" w:history="1">
        <w:r w:rsidRPr="002B0A1D">
          <w:rPr>
            <w:rStyle w:val="Hyperlink"/>
            <w:noProof/>
          </w:rPr>
          <w:t>Article 13(1)(b)</w:t>
        </w:r>
        <w:r>
          <w:rPr>
            <w:noProof/>
            <w:webHidden/>
          </w:rPr>
          <w:tab/>
        </w:r>
        <w:r>
          <w:rPr>
            <w:noProof/>
            <w:webHidden/>
          </w:rPr>
          <w:fldChar w:fldCharType="begin"/>
        </w:r>
        <w:r>
          <w:rPr>
            <w:noProof/>
            <w:webHidden/>
          </w:rPr>
          <w:instrText xml:space="preserve"> PAGEREF _Toc122349472 \h </w:instrText>
        </w:r>
        <w:r>
          <w:rPr>
            <w:noProof/>
            <w:webHidden/>
          </w:rPr>
        </w:r>
        <w:r>
          <w:rPr>
            <w:noProof/>
            <w:webHidden/>
          </w:rPr>
          <w:fldChar w:fldCharType="separate"/>
        </w:r>
        <w:r>
          <w:rPr>
            <w:noProof/>
            <w:webHidden/>
          </w:rPr>
          <w:t>5</w:t>
        </w:r>
        <w:r>
          <w:rPr>
            <w:noProof/>
            <w:webHidden/>
          </w:rPr>
          <w:fldChar w:fldCharType="end"/>
        </w:r>
      </w:hyperlink>
    </w:p>
    <w:p w14:paraId="0346564C" w14:textId="1D62CA59" w:rsidR="00EF7B49" w:rsidRDefault="00EF7B49">
      <w:pPr>
        <w:pStyle w:val="TOC2"/>
        <w:tabs>
          <w:tab w:val="right" w:leader="dot" w:pos="9016"/>
        </w:tabs>
        <w:rPr>
          <w:rFonts w:eastAsiaTheme="minorEastAsia"/>
          <w:noProof/>
          <w:sz w:val="24"/>
          <w:szCs w:val="24"/>
          <w:lang w:eastAsia="en-GB"/>
        </w:rPr>
      </w:pPr>
      <w:hyperlink w:anchor="_Toc122349473" w:history="1">
        <w:r w:rsidRPr="002B0A1D">
          <w:rPr>
            <w:rStyle w:val="Hyperlink"/>
            <w:noProof/>
          </w:rPr>
          <w:t>Article 13(2)</w:t>
        </w:r>
        <w:r>
          <w:rPr>
            <w:noProof/>
            <w:webHidden/>
          </w:rPr>
          <w:tab/>
        </w:r>
        <w:r>
          <w:rPr>
            <w:noProof/>
            <w:webHidden/>
          </w:rPr>
          <w:fldChar w:fldCharType="begin"/>
        </w:r>
        <w:r>
          <w:rPr>
            <w:noProof/>
            <w:webHidden/>
          </w:rPr>
          <w:instrText xml:space="preserve"> PAGEREF _Toc122349473 \h </w:instrText>
        </w:r>
        <w:r>
          <w:rPr>
            <w:noProof/>
            <w:webHidden/>
          </w:rPr>
        </w:r>
        <w:r>
          <w:rPr>
            <w:noProof/>
            <w:webHidden/>
          </w:rPr>
          <w:fldChar w:fldCharType="separate"/>
        </w:r>
        <w:r>
          <w:rPr>
            <w:noProof/>
            <w:webHidden/>
          </w:rPr>
          <w:t>10</w:t>
        </w:r>
        <w:r>
          <w:rPr>
            <w:noProof/>
            <w:webHidden/>
          </w:rPr>
          <w:fldChar w:fldCharType="end"/>
        </w:r>
      </w:hyperlink>
    </w:p>
    <w:p w14:paraId="3C696319" w14:textId="105F80A4" w:rsidR="00EF7B49" w:rsidRDefault="00EF7B49">
      <w:pPr>
        <w:pStyle w:val="TOC2"/>
        <w:tabs>
          <w:tab w:val="right" w:leader="dot" w:pos="9016"/>
        </w:tabs>
        <w:rPr>
          <w:rFonts w:eastAsiaTheme="minorEastAsia"/>
          <w:noProof/>
          <w:sz w:val="24"/>
          <w:szCs w:val="24"/>
          <w:lang w:eastAsia="en-GB"/>
        </w:rPr>
      </w:pPr>
      <w:hyperlink w:anchor="_Toc122349474" w:history="1">
        <w:r w:rsidRPr="002B0A1D">
          <w:rPr>
            <w:rStyle w:val="Hyperlink"/>
            <w:noProof/>
          </w:rPr>
          <w:t>Article 4 – “habitual residence”</w:t>
        </w:r>
        <w:r>
          <w:rPr>
            <w:noProof/>
            <w:webHidden/>
          </w:rPr>
          <w:tab/>
        </w:r>
        <w:r>
          <w:rPr>
            <w:noProof/>
            <w:webHidden/>
          </w:rPr>
          <w:fldChar w:fldCharType="begin"/>
        </w:r>
        <w:r>
          <w:rPr>
            <w:noProof/>
            <w:webHidden/>
          </w:rPr>
          <w:instrText xml:space="preserve"> PAGEREF _Toc122349474 \h </w:instrText>
        </w:r>
        <w:r>
          <w:rPr>
            <w:noProof/>
            <w:webHidden/>
          </w:rPr>
        </w:r>
        <w:r>
          <w:rPr>
            <w:noProof/>
            <w:webHidden/>
          </w:rPr>
          <w:fldChar w:fldCharType="separate"/>
        </w:r>
        <w:r>
          <w:rPr>
            <w:noProof/>
            <w:webHidden/>
          </w:rPr>
          <w:t>12</w:t>
        </w:r>
        <w:r>
          <w:rPr>
            <w:noProof/>
            <w:webHidden/>
          </w:rPr>
          <w:fldChar w:fldCharType="end"/>
        </w:r>
      </w:hyperlink>
    </w:p>
    <w:p w14:paraId="320B867C" w14:textId="044B57EB" w:rsidR="00EF7B49" w:rsidRDefault="00EF7B49">
      <w:pPr>
        <w:pStyle w:val="TOC2"/>
        <w:tabs>
          <w:tab w:val="left" w:pos="960"/>
          <w:tab w:val="right" w:leader="dot" w:pos="9016"/>
        </w:tabs>
        <w:rPr>
          <w:rFonts w:eastAsiaTheme="minorEastAsia"/>
          <w:noProof/>
          <w:sz w:val="24"/>
          <w:szCs w:val="24"/>
          <w:lang w:eastAsia="en-GB"/>
        </w:rPr>
      </w:pPr>
      <w:hyperlink w:anchor="_Toc122349475" w:history="1">
        <w:r w:rsidRPr="002B0A1D">
          <w:rPr>
            <w:rStyle w:val="Hyperlink"/>
            <w:rFonts w:ascii="Times New Roman" w:hAnsi="Times New Roman" w:cs="Times New Roman"/>
            <w:b/>
            <w:bCs/>
            <w:noProof/>
          </w:rPr>
          <w:t>III.</w:t>
        </w:r>
        <w:r>
          <w:rPr>
            <w:rFonts w:eastAsiaTheme="minorEastAsia"/>
            <w:noProof/>
            <w:sz w:val="24"/>
            <w:szCs w:val="24"/>
            <w:lang w:eastAsia="en-GB"/>
          </w:rPr>
          <w:tab/>
        </w:r>
        <w:r w:rsidRPr="002B0A1D">
          <w:rPr>
            <w:rStyle w:val="Hyperlink"/>
            <w:rFonts w:ascii="Times New Roman" w:hAnsi="Times New Roman" w:cs="Times New Roman"/>
            <w:b/>
            <w:bCs/>
            <w:noProof/>
          </w:rPr>
          <w:t>Convention of 19 October 1996 on Jurisdiction, Applicable Law, Recognition, Enforcement and Co-operation in Respect of Parental Responsibility and Measures for the Protection of Children</w:t>
        </w:r>
        <w:r>
          <w:rPr>
            <w:noProof/>
            <w:webHidden/>
          </w:rPr>
          <w:tab/>
        </w:r>
        <w:r>
          <w:rPr>
            <w:noProof/>
            <w:webHidden/>
          </w:rPr>
          <w:fldChar w:fldCharType="begin"/>
        </w:r>
        <w:r>
          <w:rPr>
            <w:noProof/>
            <w:webHidden/>
          </w:rPr>
          <w:instrText xml:space="preserve"> PAGEREF _Toc122349475 \h </w:instrText>
        </w:r>
        <w:r>
          <w:rPr>
            <w:noProof/>
            <w:webHidden/>
          </w:rPr>
        </w:r>
        <w:r>
          <w:rPr>
            <w:noProof/>
            <w:webHidden/>
          </w:rPr>
          <w:fldChar w:fldCharType="separate"/>
        </w:r>
        <w:r>
          <w:rPr>
            <w:noProof/>
            <w:webHidden/>
          </w:rPr>
          <w:t>14</w:t>
        </w:r>
        <w:r>
          <w:rPr>
            <w:noProof/>
            <w:webHidden/>
          </w:rPr>
          <w:fldChar w:fldCharType="end"/>
        </w:r>
      </w:hyperlink>
    </w:p>
    <w:p w14:paraId="7F3309B3" w14:textId="0CAD9371" w:rsidR="00EF7B49" w:rsidRDefault="00EF7B49">
      <w:pPr>
        <w:pStyle w:val="TOC2"/>
        <w:tabs>
          <w:tab w:val="right" w:leader="dot" w:pos="9016"/>
        </w:tabs>
        <w:rPr>
          <w:rFonts w:eastAsiaTheme="minorEastAsia"/>
          <w:noProof/>
          <w:sz w:val="24"/>
          <w:szCs w:val="24"/>
          <w:lang w:eastAsia="en-GB"/>
        </w:rPr>
      </w:pPr>
      <w:hyperlink w:anchor="_Toc122349476" w:history="1">
        <w:r w:rsidRPr="002B0A1D">
          <w:rPr>
            <w:rStyle w:val="Hyperlink"/>
            <w:noProof/>
          </w:rPr>
          <w:t>Jurisdiction</w:t>
        </w:r>
        <w:r>
          <w:rPr>
            <w:noProof/>
            <w:webHidden/>
          </w:rPr>
          <w:tab/>
        </w:r>
        <w:r>
          <w:rPr>
            <w:noProof/>
            <w:webHidden/>
          </w:rPr>
          <w:fldChar w:fldCharType="begin"/>
        </w:r>
        <w:r>
          <w:rPr>
            <w:noProof/>
            <w:webHidden/>
          </w:rPr>
          <w:instrText xml:space="preserve"> PAGEREF _Toc122349476 \h </w:instrText>
        </w:r>
        <w:r>
          <w:rPr>
            <w:noProof/>
            <w:webHidden/>
          </w:rPr>
        </w:r>
        <w:r>
          <w:rPr>
            <w:noProof/>
            <w:webHidden/>
          </w:rPr>
          <w:fldChar w:fldCharType="separate"/>
        </w:r>
        <w:r>
          <w:rPr>
            <w:noProof/>
            <w:webHidden/>
          </w:rPr>
          <w:t>14</w:t>
        </w:r>
        <w:r>
          <w:rPr>
            <w:noProof/>
            <w:webHidden/>
          </w:rPr>
          <w:fldChar w:fldCharType="end"/>
        </w:r>
      </w:hyperlink>
    </w:p>
    <w:p w14:paraId="6408233E" w14:textId="0D026AAA" w:rsidR="00EF7B49" w:rsidRDefault="00EF7B49">
      <w:pPr>
        <w:pStyle w:val="TOC2"/>
        <w:tabs>
          <w:tab w:val="right" w:leader="dot" w:pos="9016"/>
        </w:tabs>
        <w:rPr>
          <w:rFonts w:eastAsiaTheme="minorEastAsia"/>
          <w:noProof/>
          <w:sz w:val="24"/>
          <w:szCs w:val="24"/>
          <w:lang w:eastAsia="en-GB"/>
        </w:rPr>
      </w:pPr>
      <w:hyperlink w:anchor="_Toc122349477" w:history="1">
        <w:r w:rsidRPr="002B0A1D">
          <w:rPr>
            <w:rStyle w:val="Hyperlink"/>
            <w:noProof/>
          </w:rPr>
          <w:t>Applicable law</w:t>
        </w:r>
        <w:r>
          <w:rPr>
            <w:noProof/>
            <w:webHidden/>
          </w:rPr>
          <w:tab/>
        </w:r>
        <w:r>
          <w:rPr>
            <w:noProof/>
            <w:webHidden/>
          </w:rPr>
          <w:fldChar w:fldCharType="begin"/>
        </w:r>
        <w:r>
          <w:rPr>
            <w:noProof/>
            <w:webHidden/>
          </w:rPr>
          <w:instrText xml:space="preserve"> PAGEREF _Toc122349477 \h </w:instrText>
        </w:r>
        <w:r>
          <w:rPr>
            <w:noProof/>
            <w:webHidden/>
          </w:rPr>
        </w:r>
        <w:r>
          <w:rPr>
            <w:noProof/>
            <w:webHidden/>
          </w:rPr>
          <w:fldChar w:fldCharType="separate"/>
        </w:r>
        <w:r>
          <w:rPr>
            <w:noProof/>
            <w:webHidden/>
          </w:rPr>
          <w:t>15</w:t>
        </w:r>
        <w:r>
          <w:rPr>
            <w:noProof/>
            <w:webHidden/>
          </w:rPr>
          <w:fldChar w:fldCharType="end"/>
        </w:r>
      </w:hyperlink>
    </w:p>
    <w:p w14:paraId="273CEE3F" w14:textId="145B58DA" w:rsidR="00EF7B49" w:rsidRDefault="00EF7B49">
      <w:pPr>
        <w:pStyle w:val="TOC2"/>
        <w:tabs>
          <w:tab w:val="right" w:leader="dot" w:pos="9016"/>
        </w:tabs>
        <w:rPr>
          <w:rFonts w:eastAsiaTheme="minorEastAsia"/>
          <w:noProof/>
          <w:sz w:val="24"/>
          <w:szCs w:val="24"/>
          <w:lang w:eastAsia="en-GB"/>
        </w:rPr>
      </w:pPr>
      <w:hyperlink w:anchor="_Toc122349478" w:history="1">
        <w:r w:rsidRPr="002B0A1D">
          <w:rPr>
            <w:rStyle w:val="Hyperlink"/>
            <w:noProof/>
          </w:rPr>
          <w:t>Recognition and Enforcement</w:t>
        </w:r>
        <w:r>
          <w:rPr>
            <w:noProof/>
            <w:webHidden/>
          </w:rPr>
          <w:tab/>
        </w:r>
        <w:r>
          <w:rPr>
            <w:noProof/>
            <w:webHidden/>
          </w:rPr>
          <w:fldChar w:fldCharType="begin"/>
        </w:r>
        <w:r>
          <w:rPr>
            <w:noProof/>
            <w:webHidden/>
          </w:rPr>
          <w:instrText xml:space="preserve"> PAGEREF _Toc122349478 \h </w:instrText>
        </w:r>
        <w:r>
          <w:rPr>
            <w:noProof/>
            <w:webHidden/>
          </w:rPr>
        </w:r>
        <w:r>
          <w:rPr>
            <w:noProof/>
            <w:webHidden/>
          </w:rPr>
          <w:fldChar w:fldCharType="separate"/>
        </w:r>
        <w:r>
          <w:rPr>
            <w:noProof/>
            <w:webHidden/>
          </w:rPr>
          <w:t>16</w:t>
        </w:r>
        <w:r>
          <w:rPr>
            <w:noProof/>
            <w:webHidden/>
          </w:rPr>
          <w:fldChar w:fldCharType="end"/>
        </w:r>
      </w:hyperlink>
    </w:p>
    <w:p w14:paraId="678CAFDD" w14:textId="3567422B" w:rsidR="00EF7B49" w:rsidRDefault="00EF7B49">
      <w:pPr>
        <w:pStyle w:val="TOC2"/>
        <w:tabs>
          <w:tab w:val="right" w:leader="dot" w:pos="9016"/>
        </w:tabs>
        <w:rPr>
          <w:rFonts w:eastAsiaTheme="minorEastAsia"/>
          <w:noProof/>
          <w:sz w:val="24"/>
          <w:szCs w:val="24"/>
          <w:lang w:eastAsia="en-GB"/>
        </w:rPr>
      </w:pPr>
      <w:hyperlink w:anchor="_Toc122349479" w:history="1">
        <w:r w:rsidRPr="002B0A1D">
          <w:rPr>
            <w:rStyle w:val="Hyperlink"/>
            <w:noProof/>
          </w:rPr>
          <w:t>International cooperation of authorities</w:t>
        </w:r>
        <w:r>
          <w:rPr>
            <w:noProof/>
            <w:webHidden/>
          </w:rPr>
          <w:tab/>
        </w:r>
        <w:r>
          <w:rPr>
            <w:noProof/>
            <w:webHidden/>
          </w:rPr>
          <w:fldChar w:fldCharType="begin"/>
        </w:r>
        <w:r>
          <w:rPr>
            <w:noProof/>
            <w:webHidden/>
          </w:rPr>
          <w:instrText xml:space="preserve"> PAGEREF _Toc122349479 \h </w:instrText>
        </w:r>
        <w:r>
          <w:rPr>
            <w:noProof/>
            <w:webHidden/>
          </w:rPr>
        </w:r>
        <w:r>
          <w:rPr>
            <w:noProof/>
            <w:webHidden/>
          </w:rPr>
          <w:fldChar w:fldCharType="separate"/>
        </w:r>
        <w:r>
          <w:rPr>
            <w:noProof/>
            <w:webHidden/>
          </w:rPr>
          <w:t>16</w:t>
        </w:r>
        <w:r>
          <w:rPr>
            <w:noProof/>
            <w:webHidden/>
          </w:rPr>
          <w:fldChar w:fldCharType="end"/>
        </w:r>
      </w:hyperlink>
    </w:p>
    <w:p w14:paraId="1B43AE58" w14:textId="1C793CB8" w:rsidR="00EF7B49" w:rsidRDefault="00EF7B49">
      <w:pPr>
        <w:pStyle w:val="TOC2"/>
        <w:tabs>
          <w:tab w:val="left" w:pos="960"/>
          <w:tab w:val="right" w:leader="dot" w:pos="9016"/>
        </w:tabs>
        <w:rPr>
          <w:rFonts w:eastAsiaTheme="minorEastAsia"/>
          <w:noProof/>
          <w:sz w:val="24"/>
          <w:szCs w:val="24"/>
          <w:lang w:eastAsia="en-GB"/>
        </w:rPr>
      </w:pPr>
      <w:hyperlink w:anchor="_Toc122349480" w:history="1">
        <w:r w:rsidRPr="002B0A1D">
          <w:rPr>
            <w:rStyle w:val="Hyperlink"/>
            <w:rFonts w:ascii="Times New Roman" w:hAnsi="Times New Roman" w:cs="Times New Roman"/>
            <w:b/>
            <w:bCs/>
            <w:noProof/>
          </w:rPr>
          <w:t>IV.</w:t>
        </w:r>
        <w:r>
          <w:rPr>
            <w:rFonts w:eastAsiaTheme="minorEastAsia"/>
            <w:noProof/>
            <w:sz w:val="24"/>
            <w:szCs w:val="24"/>
            <w:lang w:eastAsia="en-GB"/>
          </w:rPr>
          <w:tab/>
        </w:r>
        <w:r w:rsidRPr="002B0A1D">
          <w:rPr>
            <w:rStyle w:val="Hyperlink"/>
            <w:rFonts w:ascii="Times New Roman" w:hAnsi="Times New Roman" w:cs="Times New Roman"/>
            <w:b/>
            <w:bCs/>
            <w:noProof/>
          </w:rPr>
          <w:t>Convention of 1 June 1970 on the Recognition of Divorces and Legal Separations</w:t>
        </w:r>
        <w:r>
          <w:rPr>
            <w:noProof/>
            <w:webHidden/>
          </w:rPr>
          <w:tab/>
        </w:r>
        <w:r>
          <w:rPr>
            <w:noProof/>
            <w:webHidden/>
          </w:rPr>
          <w:fldChar w:fldCharType="begin"/>
        </w:r>
        <w:r>
          <w:rPr>
            <w:noProof/>
            <w:webHidden/>
          </w:rPr>
          <w:instrText xml:space="preserve"> PAGEREF _Toc122349480 \h </w:instrText>
        </w:r>
        <w:r>
          <w:rPr>
            <w:noProof/>
            <w:webHidden/>
          </w:rPr>
        </w:r>
        <w:r>
          <w:rPr>
            <w:noProof/>
            <w:webHidden/>
          </w:rPr>
          <w:fldChar w:fldCharType="separate"/>
        </w:r>
        <w:r>
          <w:rPr>
            <w:noProof/>
            <w:webHidden/>
          </w:rPr>
          <w:t>17</w:t>
        </w:r>
        <w:r>
          <w:rPr>
            <w:noProof/>
            <w:webHidden/>
          </w:rPr>
          <w:fldChar w:fldCharType="end"/>
        </w:r>
      </w:hyperlink>
    </w:p>
    <w:p w14:paraId="0E841F84" w14:textId="5775DD3D" w:rsidR="00EF7B49" w:rsidRDefault="00EF7B49">
      <w:pPr>
        <w:pStyle w:val="TOC2"/>
        <w:tabs>
          <w:tab w:val="left" w:pos="720"/>
          <w:tab w:val="right" w:leader="dot" w:pos="9016"/>
        </w:tabs>
        <w:rPr>
          <w:rFonts w:eastAsiaTheme="minorEastAsia"/>
          <w:noProof/>
          <w:sz w:val="24"/>
          <w:szCs w:val="24"/>
          <w:lang w:eastAsia="en-GB"/>
        </w:rPr>
      </w:pPr>
      <w:hyperlink w:anchor="_Toc122349481" w:history="1">
        <w:r w:rsidRPr="002B0A1D">
          <w:rPr>
            <w:rStyle w:val="Hyperlink"/>
            <w:rFonts w:ascii="Times New Roman" w:hAnsi="Times New Roman" w:cs="Times New Roman"/>
            <w:b/>
            <w:bCs/>
            <w:noProof/>
          </w:rPr>
          <w:t>V.</w:t>
        </w:r>
        <w:r>
          <w:rPr>
            <w:rFonts w:eastAsiaTheme="minorEastAsia"/>
            <w:noProof/>
            <w:sz w:val="24"/>
            <w:szCs w:val="24"/>
            <w:lang w:eastAsia="en-GB"/>
          </w:rPr>
          <w:tab/>
        </w:r>
        <w:r w:rsidRPr="002B0A1D">
          <w:rPr>
            <w:rStyle w:val="Hyperlink"/>
            <w:rFonts w:ascii="Times New Roman" w:hAnsi="Times New Roman" w:cs="Times New Roman"/>
            <w:b/>
            <w:bCs/>
            <w:noProof/>
          </w:rPr>
          <w:t>Convention of 23 November 2007 on the International Recovery of Child Support and Other Forms of Family Maintenance</w:t>
        </w:r>
        <w:r>
          <w:rPr>
            <w:noProof/>
            <w:webHidden/>
          </w:rPr>
          <w:tab/>
        </w:r>
        <w:r>
          <w:rPr>
            <w:noProof/>
            <w:webHidden/>
          </w:rPr>
          <w:fldChar w:fldCharType="begin"/>
        </w:r>
        <w:r>
          <w:rPr>
            <w:noProof/>
            <w:webHidden/>
          </w:rPr>
          <w:instrText xml:space="preserve"> PAGEREF _Toc122349481 \h </w:instrText>
        </w:r>
        <w:r>
          <w:rPr>
            <w:noProof/>
            <w:webHidden/>
          </w:rPr>
        </w:r>
        <w:r>
          <w:rPr>
            <w:noProof/>
            <w:webHidden/>
          </w:rPr>
          <w:fldChar w:fldCharType="separate"/>
        </w:r>
        <w:r>
          <w:rPr>
            <w:noProof/>
            <w:webHidden/>
          </w:rPr>
          <w:t>17</w:t>
        </w:r>
        <w:r>
          <w:rPr>
            <w:noProof/>
            <w:webHidden/>
          </w:rPr>
          <w:fldChar w:fldCharType="end"/>
        </w:r>
      </w:hyperlink>
    </w:p>
    <w:p w14:paraId="7DB9D19B" w14:textId="29CFCAAD" w:rsidR="00EF7B49" w:rsidRDefault="00EF7B49">
      <w:pPr>
        <w:pStyle w:val="TOC2"/>
        <w:tabs>
          <w:tab w:val="right" w:leader="dot" w:pos="9016"/>
        </w:tabs>
        <w:rPr>
          <w:rFonts w:eastAsiaTheme="minorEastAsia"/>
          <w:noProof/>
          <w:sz w:val="24"/>
          <w:szCs w:val="24"/>
          <w:lang w:eastAsia="en-GB"/>
        </w:rPr>
      </w:pPr>
      <w:hyperlink w:anchor="_Toc122349482" w:history="1">
        <w:r w:rsidRPr="002B0A1D">
          <w:rPr>
            <w:rStyle w:val="Hyperlink"/>
            <w:noProof/>
          </w:rPr>
          <w:t xml:space="preserve">Applicable law (especially where different from the </w:t>
        </w:r>
        <w:r w:rsidRPr="002B0A1D">
          <w:rPr>
            <w:rStyle w:val="Hyperlink"/>
            <w:i/>
            <w:iCs/>
            <w:noProof/>
          </w:rPr>
          <w:t>lex fori</w:t>
        </w:r>
        <w:r w:rsidRPr="002B0A1D">
          <w:rPr>
            <w:rStyle w:val="Hyperlink"/>
            <w:noProof/>
          </w:rPr>
          <w:t>)</w:t>
        </w:r>
        <w:r>
          <w:rPr>
            <w:noProof/>
            <w:webHidden/>
          </w:rPr>
          <w:tab/>
        </w:r>
        <w:r>
          <w:rPr>
            <w:noProof/>
            <w:webHidden/>
          </w:rPr>
          <w:fldChar w:fldCharType="begin"/>
        </w:r>
        <w:r>
          <w:rPr>
            <w:noProof/>
            <w:webHidden/>
          </w:rPr>
          <w:instrText xml:space="preserve"> PAGEREF _Toc122349482 \h </w:instrText>
        </w:r>
        <w:r>
          <w:rPr>
            <w:noProof/>
            <w:webHidden/>
          </w:rPr>
        </w:r>
        <w:r>
          <w:rPr>
            <w:noProof/>
            <w:webHidden/>
          </w:rPr>
          <w:fldChar w:fldCharType="separate"/>
        </w:r>
        <w:r>
          <w:rPr>
            <w:noProof/>
            <w:webHidden/>
          </w:rPr>
          <w:t>17</w:t>
        </w:r>
        <w:r>
          <w:rPr>
            <w:noProof/>
            <w:webHidden/>
          </w:rPr>
          <w:fldChar w:fldCharType="end"/>
        </w:r>
      </w:hyperlink>
    </w:p>
    <w:p w14:paraId="5CAB3286" w14:textId="29D90400" w:rsidR="00EF7B49" w:rsidRDefault="00EF7B49">
      <w:pPr>
        <w:pStyle w:val="TOC2"/>
        <w:tabs>
          <w:tab w:val="right" w:leader="dot" w:pos="9016"/>
        </w:tabs>
        <w:rPr>
          <w:rFonts w:eastAsiaTheme="minorEastAsia"/>
          <w:noProof/>
          <w:sz w:val="24"/>
          <w:szCs w:val="24"/>
          <w:lang w:eastAsia="en-GB"/>
        </w:rPr>
      </w:pPr>
      <w:hyperlink w:anchor="_Toc122349483" w:history="1">
        <w:r w:rsidRPr="002B0A1D">
          <w:rPr>
            <w:rStyle w:val="Hyperlink"/>
            <w:noProof/>
          </w:rPr>
          <w:t>Recognition and enforcement</w:t>
        </w:r>
        <w:r>
          <w:rPr>
            <w:noProof/>
            <w:webHidden/>
          </w:rPr>
          <w:tab/>
        </w:r>
        <w:r>
          <w:rPr>
            <w:noProof/>
            <w:webHidden/>
          </w:rPr>
          <w:fldChar w:fldCharType="begin"/>
        </w:r>
        <w:r>
          <w:rPr>
            <w:noProof/>
            <w:webHidden/>
          </w:rPr>
          <w:instrText xml:space="preserve"> PAGEREF _Toc122349483 \h </w:instrText>
        </w:r>
        <w:r>
          <w:rPr>
            <w:noProof/>
            <w:webHidden/>
          </w:rPr>
        </w:r>
        <w:r>
          <w:rPr>
            <w:noProof/>
            <w:webHidden/>
          </w:rPr>
          <w:fldChar w:fldCharType="separate"/>
        </w:r>
        <w:r>
          <w:rPr>
            <w:noProof/>
            <w:webHidden/>
          </w:rPr>
          <w:t>20</w:t>
        </w:r>
        <w:r>
          <w:rPr>
            <w:noProof/>
            <w:webHidden/>
          </w:rPr>
          <w:fldChar w:fldCharType="end"/>
        </w:r>
      </w:hyperlink>
    </w:p>
    <w:p w14:paraId="2EBE2B67" w14:textId="7C653152" w:rsidR="00EF7B49" w:rsidRDefault="00EF7B49">
      <w:pPr>
        <w:pStyle w:val="TOC2"/>
        <w:tabs>
          <w:tab w:val="left" w:pos="960"/>
          <w:tab w:val="right" w:leader="dot" w:pos="9016"/>
        </w:tabs>
        <w:rPr>
          <w:rFonts w:eastAsiaTheme="minorEastAsia"/>
          <w:noProof/>
          <w:sz w:val="24"/>
          <w:szCs w:val="24"/>
          <w:lang w:eastAsia="en-GB"/>
        </w:rPr>
      </w:pPr>
      <w:hyperlink w:anchor="_Toc122349484" w:history="1">
        <w:r w:rsidRPr="002B0A1D">
          <w:rPr>
            <w:rStyle w:val="Hyperlink"/>
            <w:rFonts w:ascii="Times New Roman" w:hAnsi="Times New Roman" w:cs="Times New Roman"/>
            <w:b/>
            <w:bCs/>
            <w:noProof/>
          </w:rPr>
          <w:t>VI.</w:t>
        </w:r>
        <w:r>
          <w:rPr>
            <w:rFonts w:eastAsiaTheme="minorEastAsia"/>
            <w:noProof/>
            <w:sz w:val="24"/>
            <w:szCs w:val="24"/>
            <w:lang w:eastAsia="en-GB"/>
          </w:rPr>
          <w:tab/>
        </w:r>
        <w:r w:rsidRPr="002B0A1D">
          <w:rPr>
            <w:rStyle w:val="Hyperlink"/>
            <w:rFonts w:ascii="Times New Roman" w:hAnsi="Times New Roman" w:cs="Times New Roman"/>
            <w:b/>
            <w:bCs/>
            <w:noProof/>
          </w:rPr>
          <w:t>Convention of 13 January 2000 on the International Protection of Adults</w:t>
        </w:r>
        <w:r>
          <w:rPr>
            <w:noProof/>
            <w:webHidden/>
          </w:rPr>
          <w:tab/>
        </w:r>
        <w:r>
          <w:rPr>
            <w:noProof/>
            <w:webHidden/>
          </w:rPr>
          <w:fldChar w:fldCharType="begin"/>
        </w:r>
        <w:r>
          <w:rPr>
            <w:noProof/>
            <w:webHidden/>
          </w:rPr>
          <w:instrText xml:space="preserve"> PAGEREF _Toc122349484 \h </w:instrText>
        </w:r>
        <w:r>
          <w:rPr>
            <w:noProof/>
            <w:webHidden/>
          </w:rPr>
        </w:r>
        <w:r>
          <w:rPr>
            <w:noProof/>
            <w:webHidden/>
          </w:rPr>
          <w:fldChar w:fldCharType="separate"/>
        </w:r>
        <w:r>
          <w:rPr>
            <w:noProof/>
            <w:webHidden/>
          </w:rPr>
          <w:t>20</w:t>
        </w:r>
        <w:r>
          <w:rPr>
            <w:noProof/>
            <w:webHidden/>
          </w:rPr>
          <w:fldChar w:fldCharType="end"/>
        </w:r>
      </w:hyperlink>
    </w:p>
    <w:p w14:paraId="5093D766" w14:textId="3ED3DD52" w:rsidR="00EF7B49" w:rsidRDefault="00EF7B49">
      <w:pPr>
        <w:pStyle w:val="TOC2"/>
        <w:tabs>
          <w:tab w:val="left" w:pos="960"/>
          <w:tab w:val="right" w:leader="dot" w:pos="9016"/>
        </w:tabs>
        <w:rPr>
          <w:rFonts w:eastAsiaTheme="minorEastAsia"/>
          <w:noProof/>
          <w:sz w:val="24"/>
          <w:szCs w:val="24"/>
          <w:lang w:eastAsia="en-GB"/>
        </w:rPr>
      </w:pPr>
      <w:hyperlink w:anchor="_Toc122349485" w:history="1">
        <w:r w:rsidRPr="002B0A1D">
          <w:rPr>
            <w:rStyle w:val="Hyperlink"/>
            <w:rFonts w:ascii="Times New Roman" w:hAnsi="Times New Roman" w:cs="Times New Roman"/>
            <w:b/>
            <w:bCs/>
            <w:noProof/>
          </w:rPr>
          <w:t>VII.</w:t>
        </w:r>
        <w:r>
          <w:rPr>
            <w:rFonts w:eastAsiaTheme="minorEastAsia"/>
            <w:noProof/>
            <w:sz w:val="24"/>
            <w:szCs w:val="24"/>
            <w:lang w:eastAsia="en-GB"/>
          </w:rPr>
          <w:tab/>
        </w:r>
        <w:r w:rsidRPr="002B0A1D">
          <w:rPr>
            <w:rStyle w:val="Hyperlink"/>
            <w:rFonts w:ascii="Times New Roman" w:hAnsi="Times New Roman" w:cs="Times New Roman"/>
            <w:b/>
            <w:bCs/>
            <w:noProof/>
          </w:rPr>
          <w:t>Cooperation and training</w:t>
        </w:r>
        <w:r>
          <w:rPr>
            <w:noProof/>
            <w:webHidden/>
          </w:rPr>
          <w:tab/>
        </w:r>
        <w:r>
          <w:rPr>
            <w:noProof/>
            <w:webHidden/>
          </w:rPr>
          <w:fldChar w:fldCharType="begin"/>
        </w:r>
        <w:r>
          <w:rPr>
            <w:noProof/>
            <w:webHidden/>
          </w:rPr>
          <w:instrText xml:space="preserve"> PAGEREF _Toc122349485 \h </w:instrText>
        </w:r>
        <w:r>
          <w:rPr>
            <w:noProof/>
            <w:webHidden/>
          </w:rPr>
        </w:r>
        <w:r>
          <w:rPr>
            <w:noProof/>
            <w:webHidden/>
          </w:rPr>
          <w:fldChar w:fldCharType="separate"/>
        </w:r>
        <w:r>
          <w:rPr>
            <w:noProof/>
            <w:webHidden/>
          </w:rPr>
          <w:t>20</w:t>
        </w:r>
        <w:r>
          <w:rPr>
            <w:noProof/>
            <w:webHidden/>
          </w:rPr>
          <w:fldChar w:fldCharType="end"/>
        </w:r>
      </w:hyperlink>
    </w:p>
    <w:p w14:paraId="5073F863" w14:textId="52BB3ABF" w:rsidR="007919E2" w:rsidRDefault="007919E2" w:rsidP="008A76E4">
      <w:pPr>
        <w:pBdr>
          <w:bottom w:val="single" w:sz="6" w:space="1" w:color="auto"/>
        </w:pBdr>
        <w:jc w:val="both"/>
        <w:rPr>
          <w:rFonts w:ascii="Times New Roman" w:hAnsi="Times New Roman" w:cs="Times New Roman"/>
        </w:rPr>
      </w:pPr>
      <w:r>
        <w:rPr>
          <w:rFonts w:ascii="Times New Roman" w:hAnsi="Times New Roman" w:cs="Times New Roman"/>
        </w:rPr>
        <w:fldChar w:fldCharType="end"/>
      </w:r>
    </w:p>
    <w:p w14:paraId="4F985DEF" w14:textId="77777777" w:rsidR="007919E2" w:rsidRPr="00C544E3" w:rsidRDefault="007919E2" w:rsidP="008A76E4">
      <w:pPr>
        <w:pBdr>
          <w:bottom w:val="single" w:sz="6" w:space="1" w:color="auto"/>
        </w:pBdr>
        <w:jc w:val="both"/>
        <w:rPr>
          <w:rFonts w:ascii="Times New Roman" w:hAnsi="Times New Roman" w:cs="Times New Roman"/>
        </w:rPr>
      </w:pPr>
    </w:p>
    <w:p w14:paraId="298B8664" w14:textId="664C2735" w:rsidR="007919E2" w:rsidRDefault="007919E2">
      <w:pPr>
        <w:rPr>
          <w:rFonts w:ascii="Times New Roman" w:hAnsi="Times New Roman" w:cs="Times New Roman"/>
        </w:rPr>
      </w:pPr>
      <w:r>
        <w:rPr>
          <w:rFonts w:ascii="Times New Roman" w:hAnsi="Times New Roman" w:cs="Times New Roman"/>
        </w:rPr>
        <w:br w:type="page"/>
      </w:r>
    </w:p>
    <w:p w14:paraId="12890349" w14:textId="77777777" w:rsidR="00411A3C" w:rsidRPr="00C544E3" w:rsidRDefault="00411A3C" w:rsidP="00D063EA">
      <w:pPr>
        <w:jc w:val="both"/>
        <w:rPr>
          <w:rFonts w:ascii="Times New Roman" w:hAnsi="Times New Roman" w:cs="Times New Roman"/>
        </w:rPr>
      </w:pPr>
    </w:p>
    <w:p w14:paraId="06600F04" w14:textId="5547ADCF" w:rsidR="00D063EA" w:rsidRPr="00A04E8A" w:rsidRDefault="00D063EA" w:rsidP="00024CE7">
      <w:pPr>
        <w:pStyle w:val="Heading2"/>
        <w:numPr>
          <w:ilvl w:val="0"/>
          <w:numId w:val="6"/>
        </w:numPr>
        <w:shd w:val="clear" w:color="auto" w:fill="DEEAF6" w:themeFill="accent5" w:themeFillTint="33"/>
        <w:jc w:val="both"/>
        <w:rPr>
          <w:rFonts w:ascii="Times New Roman" w:hAnsi="Times New Roman" w:cs="Times New Roman"/>
          <w:b/>
          <w:bCs/>
          <w:color w:val="auto"/>
          <w:sz w:val="24"/>
          <w:szCs w:val="24"/>
        </w:rPr>
      </w:pPr>
      <w:bookmarkStart w:id="0" w:name="_Toc122349470"/>
      <w:r w:rsidRPr="00A04E8A">
        <w:rPr>
          <w:rFonts w:ascii="Times New Roman" w:hAnsi="Times New Roman" w:cs="Times New Roman"/>
          <w:b/>
          <w:bCs/>
          <w:color w:val="auto"/>
          <w:sz w:val="24"/>
          <w:szCs w:val="24"/>
        </w:rPr>
        <w:t>General questions</w:t>
      </w:r>
      <w:bookmarkEnd w:id="0"/>
    </w:p>
    <w:p w14:paraId="39E3B258" w14:textId="6F3DB322" w:rsidR="00D063EA" w:rsidRPr="00A04E8A" w:rsidRDefault="00D063EA" w:rsidP="00D063EA"/>
    <w:p w14:paraId="2D0DFF09" w14:textId="5924DDF0" w:rsidR="00D063EA" w:rsidRPr="00024CE7" w:rsidRDefault="00D063EA" w:rsidP="00D063EA">
      <w:pPr>
        <w:pStyle w:val="ListParagraph"/>
        <w:numPr>
          <w:ilvl w:val="0"/>
          <w:numId w:val="19"/>
        </w:numPr>
        <w:jc w:val="both"/>
        <w:rPr>
          <w:rFonts w:ascii="Times New Roman" w:hAnsi="Times New Roman" w:cs="Times New Roman"/>
          <w:b/>
          <w:bCs/>
          <w:sz w:val="24"/>
          <w:szCs w:val="24"/>
        </w:rPr>
      </w:pPr>
      <w:r w:rsidRPr="00024CE7">
        <w:rPr>
          <w:rFonts w:ascii="Times New Roman" w:hAnsi="Times New Roman" w:cs="Times New Roman"/>
          <w:b/>
          <w:bCs/>
          <w:sz w:val="24"/>
          <w:szCs w:val="24"/>
        </w:rPr>
        <w:t>Are there any data available in your jurisdiction on the number of international family cases involving EU Members States and international family law cases involving third States?</w:t>
      </w:r>
      <w:r w:rsidR="00AB57F5" w:rsidRPr="00024CE7">
        <w:rPr>
          <w:rFonts w:ascii="Times New Roman" w:hAnsi="Times New Roman" w:cs="Times New Roman"/>
          <w:b/>
          <w:bCs/>
          <w:sz w:val="24"/>
          <w:szCs w:val="24"/>
        </w:rPr>
        <w:t xml:space="preserve"> If so, please briefly outline the data.</w:t>
      </w:r>
    </w:p>
    <w:p w14:paraId="766326FC" w14:textId="53CD3BE3" w:rsidR="00DA15F6" w:rsidRPr="00C544E3" w:rsidRDefault="00DA15F6" w:rsidP="00DA15F6">
      <w:pPr>
        <w:pStyle w:val="ListParagraph"/>
        <w:jc w:val="both"/>
        <w:rPr>
          <w:rFonts w:ascii="Times New Roman" w:hAnsi="Times New Roman" w:cs="Times New Roman"/>
          <w:sz w:val="24"/>
          <w:szCs w:val="24"/>
        </w:rPr>
      </w:pPr>
    </w:p>
    <w:p w14:paraId="0C17B649" w14:textId="43040509" w:rsidR="00D96B6E" w:rsidRPr="00C27188" w:rsidRDefault="003B7319" w:rsidP="00D96B6E">
      <w:pPr>
        <w:jc w:val="both"/>
        <w:rPr>
          <w:rFonts w:ascii="Times New Roman" w:hAnsi="Times New Roman" w:cs="Times New Roman"/>
          <w:color w:val="4472C4" w:themeColor="accent1"/>
          <w:sz w:val="24"/>
          <w:szCs w:val="24"/>
        </w:rPr>
      </w:pPr>
      <w:r w:rsidRPr="00C27188">
        <w:rPr>
          <w:rFonts w:ascii="Times New Roman" w:hAnsi="Times New Roman" w:cs="Times New Roman"/>
          <w:color w:val="4472C4" w:themeColor="accent1"/>
          <w:sz w:val="24"/>
          <w:szCs w:val="24"/>
        </w:rPr>
        <w:t>D</w:t>
      </w:r>
      <w:r w:rsidR="00D96B6E" w:rsidRPr="00C27188">
        <w:rPr>
          <w:rFonts w:ascii="Times New Roman" w:hAnsi="Times New Roman" w:cs="Times New Roman"/>
          <w:color w:val="4472C4" w:themeColor="accent1"/>
          <w:sz w:val="24"/>
          <w:szCs w:val="24"/>
        </w:rPr>
        <w:t xml:space="preserve">ata on </w:t>
      </w:r>
      <w:r w:rsidR="004451B5" w:rsidRPr="00C27188">
        <w:rPr>
          <w:rFonts w:ascii="Times New Roman" w:hAnsi="Times New Roman" w:cs="Times New Roman"/>
          <w:color w:val="4472C4" w:themeColor="accent1"/>
          <w:sz w:val="24"/>
          <w:szCs w:val="24"/>
        </w:rPr>
        <w:t xml:space="preserve">international family </w:t>
      </w:r>
      <w:r w:rsidR="00D96B6E" w:rsidRPr="00C27188">
        <w:rPr>
          <w:rFonts w:ascii="Times New Roman" w:hAnsi="Times New Roman" w:cs="Times New Roman"/>
          <w:color w:val="4472C4" w:themeColor="accent1"/>
          <w:sz w:val="24"/>
          <w:szCs w:val="24"/>
        </w:rPr>
        <w:t xml:space="preserve">cases involving EU Members States and international family cases involving third </w:t>
      </w:r>
      <w:r w:rsidR="00407CA9">
        <w:rPr>
          <w:rFonts w:ascii="Times New Roman" w:hAnsi="Times New Roman" w:cs="Times New Roman"/>
          <w:color w:val="4472C4" w:themeColor="accent1"/>
          <w:sz w:val="24"/>
          <w:szCs w:val="24"/>
        </w:rPr>
        <w:t>s</w:t>
      </w:r>
      <w:r w:rsidR="00D96B6E" w:rsidRPr="00C27188">
        <w:rPr>
          <w:rFonts w:ascii="Times New Roman" w:hAnsi="Times New Roman" w:cs="Times New Roman"/>
          <w:color w:val="4472C4" w:themeColor="accent1"/>
          <w:sz w:val="24"/>
          <w:szCs w:val="24"/>
        </w:rPr>
        <w:t>tates</w:t>
      </w:r>
      <w:r w:rsidR="004451B5" w:rsidRPr="00C27188">
        <w:rPr>
          <w:rFonts w:ascii="Times New Roman" w:hAnsi="Times New Roman" w:cs="Times New Roman"/>
          <w:color w:val="4472C4" w:themeColor="accent1"/>
          <w:sz w:val="24"/>
          <w:szCs w:val="24"/>
        </w:rPr>
        <w:t xml:space="preserve"> is not collected in Lithuania</w:t>
      </w:r>
      <w:r w:rsidR="00D96B6E" w:rsidRPr="00C27188">
        <w:rPr>
          <w:rFonts w:ascii="Times New Roman" w:hAnsi="Times New Roman" w:cs="Times New Roman"/>
          <w:color w:val="4472C4" w:themeColor="accent1"/>
          <w:sz w:val="24"/>
          <w:szCs w:val="24"/>
        </w:rPr>
        <w:t>.</w:t>
      </w:r>
      <w:r w:rsidR="004451B5" w:rsidRPr="00C27188">
        <w:rPr>
          <w:rFonts w:ascii="Times New Roman" w:hAnsi="Times New Roman" w:cs="Times New Roman"/>
          <w:color w:val="4472C4" w:themeColor="accent1"/>
          <w:sz w:val="24"/>
          <w:szCs w:val="24"/>
        </w:rPr>
        <w:t xml:space="preserve"> After the desk search, I also contacted the National Judicial Administration to verify this</w:t>
      </w:r>
      <w:r w:rsidRPr="00C27188">
        <w:rPr>
          <w:rFonts w:ascii="Times New Roman" w:hAnsi="Times New Roman" w:cs="Times New Roman"/>
          <w:color w:val="4472C4" w:themeColor="accent1"/>
          <w:sz w:val="24"/>
          <w:szCs w:val="24"/>
        </w:rPr>
        <w:t>,</w:t>
      </w:r>
      <w:r w:rsidR="004451B5" w:rsidRPr="00C27188">
        <w:rPr>
          <w:rFonts w:ascii="Times New Roman" w:hAnsi="Times New Roman" w:cs="Times New Roman"/>
          <w:color w:val="4472C4" w:themeColor="accent1"/>
          <w:sz w:val="24"/>
          <w:szCs w:val="24"/>
        </w:rPr>
        <w:t xml:space="preserve"> and they confirmed that there is no collected data on </w:t>
      </w:r>
      <w:r w:rsidRPr="00C27188">
        <w:rPr>
          <w:rFonts w:ascii="Times New Roman" w:hAnsi="Times New Roman" w:cs="Times New Roman"/>
          <w:color w:val="4472C4" w:themeColor="accent1"/>
          <w:sz w:val="24"/>
          <w:szCs w:val="24"/>
        </w:rPr>
        <w:t>cross-border family cases (</w:t>
      </w:r>
      <w:r w:rsidR="004451B5" w:rsidRPr="00C27188">
        <w:rPr>
          <w:rFonts w:ascii="Times New Roman" w:hAnsi="Times New Roman" w:cs="Times New Roman"/>
          <w:color w:val="4472C4" w:themeColor="accent1"/>
          <w:sz w:val="24"/>
          <w:szCs w:val="24"/>
        </w:rPr>
        <w:t>family proceedings where one of the parties is a foreigner or one or both of the parties live abroad</w:t>
      </w:r>
      <w:r w:rsidRPr="00C27188">
        <w:rPr>
          <w:rFonts w:ascii="Times New Roman" w:hAnsi="Times New Roman" w:cs="Times New Roman"/>
          <w:color w:val="4472C4" w:themeColor="accent1"/>
          <w:sz w:val="24"/>
          <w:szCs w:val="24"/>
        </w:rPr>
        <w:t>).</w:t>
      </w:r>
    </w:p>
    <w:p w14:paraId="705993BA" w14:textId="7BAB89B0" w:rsidR="001F7694" w:rsidRPr="00C27188" w:rsidRDefault="00D96B6E" w:rsidP="0066466E">
      <w:pPr>
        <w:jc w:val="both"/>
        <w:rPr>
          <w:rFonts w:ascii="Times New Roman" w:hAnsi="Times New Roman" w:cs="Times New Roman"/>
          <w:color w:val="4472C4" w:themeColor="accent1"/>
          <w:sz w:val="24"/>
          <w:szCs w:val="24"/>
        </w:rPr>
      </w:pPr>
      <w:r w:rsidRPr="00C27188">
        <w:rPr>
          <w:rFonts w:ascii="Times New Roman" w:hAnsi="Times New Roman" w:cs="Times New Roman"/>
          <w:color w:val="4472C4" w:themeColor="accent1"/>
          <w:sz w:val="24"/>
          <w:szCs w:val="24"/>
        </w:rPr>
        <w:t xml:space="preserve">However, we can get some idea from the statistics. </w:t>
      </w:r>
      <w:r w:rsidR="003B7319" w:rsidRPr="00C27188">
        <w:rPr>
          <w:rFonts w:ascii="Times New Roman" w:hAnsi="Times New Roman" w:cs="Times New Roman"/>
          <w:color w:val="4472C4" w:themeColor="accent1"/>
          <w:sz w:val="24"/>
          <w:szCs w:val="24"/>
        </w:rPr>
        <w:t>For instance, as to divorce cases, a</w:t>
      </w:r>
      <w:r w:rsidR="001F7694" w:rsidRPr="00C27188">
        <w:rPr>
          <w:rFonts w:ascii="Times New Roman" w:hAnsi="Times New Roman" w:cs="Times New Roman"/>
          <w:color w:val="4472C4" w:themeColor="accent1"/>
          <w:sz w:val="24"/>
          <w:szCs w:val="24"/>
        </w:rPr>
        <w:t xml:space="preserve">ccording to statistics, divorce numbers with foreign nationals </w:t>
      </w:r>
      <w:r w:rsidR="009650D1" w:rsidRPr="00C27188">
        <w:rPr>
          <w:rFonts w:ascii="Times New Roman" w:hAnsi="Times New Roman" w:cs="Times New Roman"/>
          <w:color w:val="4472C4" w:themeColor="accent1"/>
          <w:sz w:val="24"/>
          <w:szCs w:val="24"/>
        </w:rPr>
        <w:t xml:space="preserve">in recent years </w:t>
      </w:r>
      <w:r w:rsidR="001F7694" w:rsidRPr="00C27188">
        <w:rPr>
          <w:rFonts w:ascii="Times New Roman" w:hAnsi="Times New Roman" w:cs="Times New Roman"/>
          <w:color w:val="4472C4" w:themeColor="accent1"/>
          <w:sz w:val="24"/>
          <w:szCs w:val="24"/>
        </w:rPr>
        <w:t>were as follows</w:t>
      </w:r>
      <w:r w:rsidR="009650D1" w:rsidRPr="00C27188">
        <w:rPr>
          <w:rStyle w:val="FootnoteReference"/>
          <w:rFonts w:ascii="Times New Roman" w:hAnsi="Times New Roman" w:cs="Times New Roman"/>
          <w:color w:val="4472C4" w:themeColor="accent1"/>
          <w:sz w:val="24"/>
          <w:szCs w:val="24"/>
        </w:rPr>
        <w:footnoteReference w:id="1"/>
      </w:r>
      <w:r w:rsidR="001F7694" w:rsidRPr="00C27188">
        <w:rPr>
          <w:rFonts w:ascii="Times New Roman" w:hAnsi="Times New Roman" w:cs="Times New Roman"/>
          <w:color w:val="4472C4" w:themeColor="accent1"/>
          <w:sz w:val="24"/>
          <w:szCs w:val="24"/>
        </w:rPr>
        <w:t>:</w:t>
      </w:r>
    </w:p>
    <w:tbl>
      <w:tblPr>
        <w:tblStyle w:val="TableGrid"/>
        <w:tblW w:w="9067" w:type="dxa"/>
        <w:tblLook w:val="04A0" w:firstRow="1" w:lastRow="0" w:firstColumn="1" w:lastColumn="0" w:noHBand="0" w:noVBand="1"/>
      </w:tblPr>
      <w:tblGrid>
        <w:gridCol w:w="846"/>
        <w:gridCol w:w="1701"/>
        <w:gridCol w:w="1843"/>
        <w:gridCol w:w="2551"/>
        <w:gridCol w:w="2126"/>
      </w:tblGrid>
      <w:tr w:rsidR="00024CE7" w:rsidRPr="00C27188" w14:paraId="62393867" w14:textId="77777777" w:rsidTr="00A04E8A">
        <w:tc>
          <w:tcPr>
            <w:tcW w:w="846" w:type="dxa"/>
          </w:tcPr>
          <w:p w14:paraId="0F4C2AF4" w14:textId="47EF6AB0" w:rsidR="009650D1" w:rsidRPr="00C27188" w:rsidRDefault="009650D1" w:rsidP="009650D1">
            <w:pPr>
              <w:jc w:val="both"/>
              <w:rPr>
                <w:rFonts w:ascii="Times New Roman" w:hAnsi="Times New Roman" w:cs="Times New Roman"/>
                <w:color w:val="4472C4" w:themeColor="accent1"/>
                <w:sz w:val="24"/>
                <w:szCs w:val="24"/>
              </w:rPr>
            </w:pPr>
            <w:r w:rsidRPr="00C27188">
              <w:rPr>
                <w:rFonts w:ascii="Times New Roman" w:hAnsi="Times New Roman" w:cs="Times New Roman"/>
                <w:color w:val="4472C4" w:themeColor="accent1"/>
                <w:sz w:val="24"/>
                <w:szCs w:val="24"/>
              </w:rPr>
              <w:t>Year</w:t>
            </w:r>
          </w:p>
        </w:tc>
        <w:tc>
          <w:tcPr>
            <w:tcW w:w="1701" w:type="dxa"/>
          </w:tcPr>
          <w:p w14:paraId="2D129FDE" w14:textId="2DBB8E3B" w:rsidR="009650D1" w:rsidRPr="00C27188" w:rsidRDefault="009650D1" w:rsidP="009650D1">
            <w:pPr>
              <w:jc w:val="both"/>
              <w:rPr>
                <w:rFonts w:ascii="Times New Roman" w:hAnsi="Times New Roman" w:cs="Times New Roman"/>
                <w:color w:val="4472C4" w:themeColor="accent1"/>
                <w:sz w:val="24"/>
                <w:szCs w:val="24"/>
              </w:rPr>
            </w:pPr>
            <w:r w:rsidRPr="00C27188">
              <w:rPr>
                <w:rFonts w:ascii="Times New Roman" w:hAnsi="Times New Roman" w:cs="Times New Roman"/>
                <w:color w:val="4472C4" w:themeColor="accent1"/>
                <w:sz w:val="24"/>
                <w:szCs w:val="24"/>
              </w:rPr>
              <w:t>Total number of divorces</w:t>
            </w:r>
          </w:p>
        </w:tc>
        <w:tc>
          <w:tcPr>
            <w:tcW w:w="1843" w:type="dxa"/>
          </w:tcPr>
          <w:p w14:paraId="3E8BE084" w14:textId="40314D87" w:rsidR="009650D1" w:rsidRPr="00C27188" w:rsidRDefault="009650D1" w:rsidP="009650D1">
            <w:pPr>
              <w:jc w:val="both"/>
              <w:rPr>
                <w:rFonts w:ascii="Times New Roman" w:hAnsi="Times New Roman" w:cs="Times New Roman"/>
                <w:color w:val="4472C4" w:themeColor="accent1"/>
                <w:sz w:val="24"/>
                <w:szCs w:val="24"/>
              </w:rPr>
            </w:pPr>
            <w:r w:rsidRPr="00C27188">
              <w:rPr>
                <w:rFonts w:ascii="Times New Roman" w:hAnsi="Times New Roman" w:cs="Times New Roman"/>
                <w:color w:val="4472C4" w:themeColor="accent1"/>
                <w:sz w:val="24"/>
                <w:szCs w:val="24"/>
              </w:rPr>
              <w:t>Both Lithuanian citizens</w:t>
            </w:r>
          </w:p>
        </w:tc>
        <w:tc>
          <w:tcPr>
            <w:tcW w:w="2551" w:type="dxa"/>
          </w:tcPr>
          <w:p w14:paraId="1730EBC4" w14:textId="3F4B8A62" w:rsidR="009650D1" w:rsidRPr="00C27188" w:rsidRDefault="009650D1" w:rsidP="009650D1">
            <w:pPr>
              <w:jc w:val="both"/>
              <w:rPr>
                <w:rFonts w:ascii="Times New Roman" w:hAnsi="Times New Roman" w:cs="Times New Roman"/>
                <w:color w:val="4472C4" w:themeColor="accent1"/>
                <w:sz w:val="24"/>
                <w:szCs w:val="24"/>
              </w:rPr>
            </w:pPr>
            <w:r w:rsidRPr="00C27188">
              <w:rPr>
                <w:rFonts w:ascii="Times New Roman" w:hAnsi="Times New Roman" w:cs="Times New Roman"/>
                <w:color w:val="4472C4" w:themeColor="accent1"/>
                <w:sz w:val="24"/>
                <w:szCs w:val="24"/>
              </w:rPr>
              <w:t>One of the spouses is EU citizen</w:t>
            </w:r>
          </w:p>
        </w:tc>
        <w:tc>
          <w:tcPr>
            <w:tcW w:w="2126" w:type="dxa"/>
          </w:tcPr>
          <w:p w14:paraId="4AD18070" w14:textId="2E500795" w:rsidR="009650D1" w:rsidRPr="00C27188" w:rsidRDefault="009650D1" w:rsidP="009650D1">
            <w:pPr>
              <w:jc w:val="both"/>
              <w:rPr>
                <w:rFonts w:ascii="Times New Roman" w:hAnsi="Times New Roman" w:cs="Times New Roman"/>
                <w:color w:val="4472C4" w:themeColor="accent1"/>
                <w:sz w:val="24"/>
                <w:szCs w:val="24"/>
              </w:rPr>
            </w:pPr>
            <w:r w:rsidRPr="00C27188">
              <w:rPr>
                <w:rFonts w:ascii="Times New Roman" w:hAnsi="Times New Roman" w:cs="Times New Roman"/>
                <w:color w:val="4472C4" w:themeColor="accent1"/>
                <w:sz w:val="24"/>
                <w:szCs w:val="24"/>
              </w:rPr>
              <w:t>One of the spouses is non-EU citizen</w:t>
            </w:r>
          </w:p>
        </w:tc>
      </w:tr>
      <w:tr w:rsidR="00024CE7" w:rsidRPr="00C27188" w14:paraId="150260BE" w14:textId="77777777" w:rsidTr="00A04E8A">
        <w:tc>
          <w:tcPr>
            <w:tcW w:w="846" w:type="dxa"/>
          </w:tcPr>
          <w:p w14:paraId="6098D62A" w14:textId="607887D5" w:rsidR="009650D1" w:rsidRPr="00C27188" w:rsidRDefault="009650D1" w:rsidP="009650D1">
            <w:pPr>
              <w:jc w:val="both"/>
              <w:rPr>
                <w:rFonts w:ascii="Times New Roman" w:hAnsi="Times New Roman" w:cs="Times New Roman"/>
                <w:color w:val="4472C4" w:themeColor="accent1"/>
                <w:sz w:val="24"/>
                <w:szCs w:val="24"/>
              </w:rPr>
            </w:pPr>
            <w:r w:rsidRPr="00C27188">
              <w:rPr>
                <w:rFonts w:ascii="Times New Roman" w:hAnsi="Times New Roman" w:cs="Times New Roman"/>
                <w:color w:val="4472C4" w:themeColor="accent1"/>
                <w:sz w:val="24"/>
                <w:szCs w:val="24"/>
              </w:rPr>
              <w:t>2021</w:t>
            </w:r>
          </w:p>
        </w:tc>
        <w:tc>
          <w:tcPr>
            <w:tcW w:w="1701" w:type="dxa"/>
          </w:tcPr>
          <w:p w14:paraId="4835C0F4" w14:textId="7D96F1FF" w:rsidR="009650D1" w:rsidRPr="00C27188" w:rsidRDefault="009650D1" w:rsidP="009650D1">
            <w:pPr>
              <w:jc w:val="both"/>
              <w:rPr>
                <w:rFonts w:ascii="Times New Roman" w:hAnsi="Times New Roman" w:cs="Times New Roman"/>
                <w:color w:val="4472C4" w:themeColor="accent1"/>
                <w:sz w:val="24"/>
                <w:szCs w:val="24"/>
              </w:rPr>
            </w:pPr>
            <w:r w:rsidRPr="00C27188">
              <w:rPr>
                <w:rFonts w:ascii="Times New Roman" w:hAnsi="Times New Roman" w:cs="Times New Roman"/>
                <w:color w:val="4472C4" w:themeColor="accent1"/>
                <w:sz w:val="24"/>
                <w:szCs w:val="24"/>
              </w:rPr>
              <w:t>7 822</w:t>
            </w:r>
          </w:p>
        </w:tc>
        <w:tc>
          <w:tcPr>
            <w:tcW w:w="1843" w:type="dxa"/>
          </w:tcPr>
          <w:p w14:paraId="51381BF1" w14:textId="33BF6FCE" w:rsidR="009650D1" w:rsidRPr="00C27188" w:rsidRDefault="009650D1" w:rsidP="009650D1">
            <w:pPr>
              <w:jc w:val="both"/>
              <w:rPr>
                <w:rFonts w:ascii="Times New Roman" w:hAnsi="Times New Roman" w:cs="Times New Roman"/>
                <w:color w:val="4472C4" w:themeColor="accent1"/>
                <w:sz w:val="24"/>
                <w:szCs w:val="24"/>
              </w:rPr>
            </w:pPr>
            <w:r w:rsidRPr="00C27188">
              <w:rPr>
                <w:rFonts w:ascii="Times New Roman" w:hAnsi="Times New Roman" w:cs="Times New Roman"/>
                <w:color w:val="4472C4" w:themeColor="accent1"/>
                <w:sz w:val="24"/>
                <w:szCs w:val="24"/>
              </w:rPr>
              <w:t>6 974</w:t>
            </w:r>
          </w:p>
        </w:tc>
        <w:tc>
          <w:tcPr>
            <w:tcW w:w="2551" w:type="dxa"/>
          </w:tcPr>
          <w:p w14:paraId="7094DB71" w14:textId="5FFE5426" w:rsidR="009650D1" w:rsidRPr="00C27188" w:rsidRDefault="009650D1" w:rsidP="009650D1">
            <w:pPr>
              <w:jc w:val="both"/>
              <w:rPr>
                <w:rFonts w:ascii="Times New Roman" w:hAnsi="Times New Roman" w:cs="Times New Roman"/>
                <w:color w:val="4472C4" w:themeColor="accent1"/>
                <w:sz w:val="24"/>
                <w:szCs w:val="24"/>
              </w:rPr>
            </w:pPr>
            <w:r w:rsidRPr="00C27188">
              <w:rPr>
                <w:rFonts w:ascii="Times New Roman" w:hAnsi="Times New Roman" w:cs="Times New Roman"/>
                <w:color w:val="4472C4" w:themeColor="accent1"/>
                <w:sz w:val="24"/>
                <w:szCs w:val="24"/>
              </w:rPr>
              <w:t>204</w:t>
            </w:r>
          </w:p>
        </w:tc>
        <w:tc>
          <w:tcPr>
            <w:tcW w:w="2126" w:type="dxa"/>
          </w:tcPr>
          <w:p w14:paraId="19B377A9" w14:textId="6D3EF1F7" w:rsidR="009650D1" w:rsidRPr="00C27188" w:rsidRDefault="009650D1" w:rsidP="009650D1">
            <w:pPr>
              <w:jc w:val="both"/>
              <w:rPr>
                <w:rFonts w:ascii="Times New Roman" w:hAnsi="Times New Roman" w:cs="Times New Roman"/>
                <w:color w:val="4472C4" w:themeColor="accent1"/>
                <w:sz w:val="24"/>
                <w:szCs w:val="24"/>
              </w:rPr>
            </w:pPr>
            <w:r w:rsidRPr="00C27188">
              <w:rPr>
                <w:rFonts w:ascii="Times New Roman" w:hAnsi="Times New Roman" w:cs="Times New Roman"/>
                <w:color w:val="4472C4" w:themeColor="accent1"/>
                <w:sz w:val="24"/>
                <w:szCs w:val="24"/>
              </w:rPr>
              <w:t>562</w:t>
            </w:r>
          </w:p>
        </w:tc>
      </w:tr>
      <w:tr w:rsidR="00024CE7" w:rsidRPr="00C27188" w14:paraId="61F861E8" w14:textId="77777777" w:rsidTr="00A04E8A">
        <w:tc>
          <w:tcPr>
            <w:tcW w:w="846" w:type="dxa"/>
          </w:tcPr>
          <w:p w14:paraId="208C873D" w14:textId="31256D1F" w:rsidR="009650D1" w:rsidRPr="00C27188" w:rsidRDefault="009650D1" w:rsidP="009650D1">
            <w:pPr>
              <w:jc w:val="both"/>
              <w:rPr>
                <w:rFonts w:ascii="Times New Roman" w:hAnsi="Times New Roman" w:cs="Times New Roman"/>
                <w:color w:val="4472C4" w:themeColor="accent1"/>
                <w:sz w:val="24"/>
                <w:szCs w:val="24"/>
              </w:rPr>
            </w:pPr>
            <w:r w:rsidRPr="00C27188">
              <w:rPr>
                <w:rFonts w:ascii="Times New Roman" w:hAnsi="Times New Roman" w:cs="Times New Roman"/>
                <w:color w:val="4472C4" w:themeColor="accent1"/>
                <w:sz w:val="24"/>
                <w:szCs w:val="24"/>
              </w:rPr>
              <w:t>2020</w:t>
            </w:r>
          </w:p>
        </w:tc>
        <w:tc>
          <w:tcPr>
            <w:tcW w:w="1701" w:type="dxa"/>
          </w:tcPr>
          <w:p w14:paraId="17462467" w14:textId="78CB3706" w:rsidR="009650D1" w:rsidRPr="00C27188" w:rsidRDefault="009650D1" w:rsidP="009650D1">
            <w:pPr>
              <w:jc w:val="both"/>
              <w:rPr>
                <w:rFonts w:ascii="Times New Roman" w:hAnsi="Times New Roman" w:cs="Times New Roman"/>
                <w:color w:val="4472C4" w:themeColor="accent1"/>
                <w:sz w:val="24"/>
                <w:szCs w:val="24"/>
              </w:rPr>
            </w:pPr>
            <w:r w:rsidRPr="00C27188">
              <w:rPr>
                <w:rFonts w:ascii="Times New Roman" w:hAnsi="Times New Roman" w:cs="Times New Roman"/>
                <w:color w:val="4472C4" w:themeColor="accent1"/>
                <w:sz w:val="24"/>
                <w:szCs w:val="24"/>
              </w:rPr>
              <w:t>7 544</w:t>
            </w:r>
          </w:p>
        </w:tc>
        <w:tc>
          <w:tcPr>
            <w:tcW w:w="1843" w:type="dxa"/>
          </w:tcPr>
          <w:p w14:paraId="78EF52EA" w14:textId="1DFB06DF" w:rsidR="009650D1" w:rsidRPr="00C27188" w:rsidRDefault="009650D1" w:rsidP="009650D1">
            <w:pPr>
              <w:jc w:val="both"/>
              <w:rPr>
                <w:rFonts w:ascii="Times New Roman" w:hAnsi="Times New Roman" w:cs="Times New Roman"/>
                <w:color w:val="4472C4" w:themeColor="accent1"/>
                <w:sz w:val="24"/>
                <w:szCs w:val="24"/>
              </w:rPr>
            </w:pPr>
            <w:r w:rsidRPr="00C27188">
              <w:rPr>
                <w:rFonts w:ascii="Times New Roman" w:hAnsi="Times New Roman" w:cs="Times New Roman"/>
                <w:color w:val="4472C4" w:themeColor="accent1"/>
                <w:sz w:val="24"/>
                <w:szCs w:val="24"/>
              </w:rPr>
              <w:t>6 848</w:t>
            </w:r>
          </w:p>
        </w:tc>
        <w:tc>
          <w:tcPr>
            <w:tcW w:w="2551" w:type="dxa"/>
          </w:tcPr>
          <w:p w14:paraId="104CD080" w14:textId="3DFDFA2E" w:rsidR="009650D1" w:rsidRPr="00C27188" w:rsidRDefault="009650D1" w:rsidP="009650D1">
            <w:pPr>
              <w:jc w:val="both"/>
              <w:rPr>
                <w:rFonts w:ascii="Times New Roman" w:hAnsi="Times New Roman" w:cs="Times New Roman"/>
                <w:color w:val="4472C4" w:themeColor="accent1"/>
                <w:sz w:val="24"/>
                <w:szCs w:val="24"/>
              </w:rPr>
            </w:pPr>
            <w:r w:rsidRPr="00C27188">
              <w:rPr>
                <w:rFonts w:ascii="Times New Roman" w:hAnsi="Times New Roman" w:cs="Times New Roman"/>
                <w:color w:val="4472C4" w:themeColor="accent1"/>
                <w:sz w:val="24"/>
                <w:szCs w:val="24"/>
              </w:rPr>
              <w:t>135</w:t>
            </w:r>
          </w:p>
        </w:tc>
        <w:tc>
          <w:tcPr>
            <w:tcW w:w="2126" w:type="dxa"/>
          </w:tcPr>
          <w:p w14:paraId="6DE76AC8" w14:textId="6BCE3EBA" w:rsidR="009650D1" w:rsidRPr="00C27188" w:rsidRDefault="009650D1" w:rsidP="009650D1">
            <w:pPr>
              <w:jc w:val="both"/>
              <w:rPr>
                <w:rFonts w:ascii="Times New Roman" w:hAnsi="Times New Roman" w:cs="Times New Roman"/>
                <w:color w:val="4472C4" w:themeColor="accent1"/>
                <w:sz w:val="24"/>
                <w:szCs w:val="24"/>
              </w:rPr>
            </w:pPr>
            <w:r w:rsidRPr="00C27188">
              <w:rPr>
                <w:rFonts w:ascii="Times New Roman" w:hAnsi="Times New Roman" w:cs="Times New Roman"/>
                <w:color w:val="4472C4" w:themeColor="accent1"/>
                <w:sz w:val="24"/>
                <w:szCs w:val="24"/>
              </w:rPr>
              <w:t>449</w:t>
            </w:r>
          </w:p>
        </w:tc>
      </w:tr>
      <w:tr w:rsidR="00024CE7" w:rsidRPr="00C27188" w14:paraId="4863E992" w14:textId="77777777" w:rsidTr="00A04E8A">
        <w:tc>
          <w:tcPr>
            <w:tcW w:w="846" w:type="dxa"/>
          </w:tcPr>
          <w:p w14:paraId="3A3573E6" w14:textId="062340C6" w:rsidR="009650D1" w:rsidRPr="00C27188" w:rsidRDefault="009650D1" w:rsidP="009650D1">
            <w:pPr>
              <w:jc w:val="both"/>
              <w:rPr>
                <w:rFonts w:ascii="Times New Roman" w:hAnsi="Times New Roman" w:cs="Times New Roman"/>
                <w:color w:val="4472C4" w:themeColor="accent1"/>
                <w:sz w:val="24"/>
                <w:szCs w:val="24"/>
              </w:rPr>
            </w:pPr>
            <w:r w:rsidRPr="00C27188">
              <w:rPr>
                <w:rFonts w:ascii="Times New Roman" w:hAnsi="Times New Roman" w:cs="Times New Roman"/>
                <w:color w:val="4472C4" w:themeColor="accent1"/>
                <w:sz w:val="24"/>
                <w:szCs w:val="24"/>
              </w:rPr>
              <w:t>2019</w:t>
            </w:r>
          </w:p>
        </w:tc>
        <w:tc>
          <w:tcPr>
            <w:tcW w:w="1701" w:type="dxa"/>
          </w:tcPr>
          <w:p w14:paraId="10D0E6D0" w14:textId="16096C08" w:rsidR="009650D1" w:rsidRPr="00C27188" w:rsidRDefault="009650D1" w:rsidP="009650D1">
            <w:pPr>
              <w:jc w:val="both"/>
              <w:rPr>
                <w:rFonts w:ascii="Times New Roman" w:hAnsi="Times New Roman" w:cs="Times New Roman"/>
                <w:color w:val="4472C4" w:themeColor="accent1"/>
                <w:sz w:val="24"/>
                <w:szCs w:val="24"/>
              </w:rPr>
            </w:pPr>
            <w:r w:rsidRPr="00C27188">
              <w:rPr>
                <w:rFonts w:ascii="Times New Roman" w:hAnsi="Times New Roman" w:cs="Times New Roman"/>
                <w:color w:val="4472C4" w:themeColor="accent1"/>
                <w:sz w:val="24"/>
                <w:szCs w:val="24"/>
              </w:rPr>
              <w:t>8 683</w:t>
            </w:r>
          </w:p>
        </w:tc>
        <w:tc>
          <w:tcPr>
            <w:tcW w:w="1843" w:type="dxa"/>
          </w:tcPr>
          <w:p w14:paraId="393371C2" w14:textId="7329FBAB" w:rsidR="009650D1" w:rsidRPr="00C27188" w:rsidRDefault="009650D1" w:rsidP="009650D1">
            <w:pPr>
              <w:jc w:val="both"/>
              <w:rPr>
                <w:rFonts w:ascii="Times New Roman" w:hAnsi="Times New Roman" w:cs="Times New Roman"/>
                <w:color w:val="4472C4" w:themeColor="accent1"/>
                <w:sz w:val="24"/>
                <w:szCs w:val="24"/>
              </w:rPr>
            </w:pPr>
            <w:r w:rsidRPr="00C27188">
              <w:rPr>
                <w:rFonts w:ascii="Times New Roman" w:hAnsi="Times New Roman" w:cs="Times New Roman"/>
                <w:color w:val="4472C4" w:themeColor="accent1"/>
                <w:sz w:val="24"/>
                <w:szCs w:val="24"/>
              </w:rPr>
              <w:t>7 780</w:t>
            </w:r>
          </w:p>
        </w:tc>
        <w:tc>
          <w:tcPr>
            <w:tcW w:w="2551" w:type="dxa"/>
          </w:tcPr>
          <w:p w14:paraId="05A00229" w14:textId="31C5AE7F" w:rsidR="009650D1" w:rsidRPr="00C27188" w:rsidRDefault="009650D1" w:rsidP="009650D1">
            <w:pPr>
              <w:jc w:val="both"/>
              <w:rPr>
                <w:rFonts w:ascii="Times New Roman" w:hAnsi="Times New Roman" w:cs="Times New Roman"/>
                <w:color w:val="4472C4" w:themeColor="accent1"/>
                <w:sz w:val="24"/>
                <w:szCs w:val="24"/>
              </w:rPr>
            </w:pPr>
            <w:r w:rsidRPr="00C27188">
              <w:rPr>
                <w:rFonts w:ascii="Times New Roman" w:hAnsi="Times New Roman" w:cs="Times New Roman"/>
                <w:color w:val="4472C4" w:themeColor="accent1"/>
                <w:sz w:val="24"/>
                <w:szCs w:val="24"/>
              </w:rPr>
              <w:t>219</w:t>
            </w:r>
          </w:p>
        </w:tc>
        <w:tc>
          <w:tcPr>
            <w:tcW w:w="2126" w:type="dxa"/>
          </w:tcPr>
          <w:p w14:paraId="667F9AD6" w14:textId="651F79F2" w:rsidR="009650D1" w:rsidRPr="00C27188" w:rsidRDefault="009650D1" w:rsidP="009650D1">
            <w:pPr>
              <w:jc w:val="both"/>
              <w:rPr>
                <w:rFonts w:ascii="Times New Roman" w:hAnsi="Times New Roman" w:cs="Times New Roman"/>
                <w:color w:val="4472C4" w:themeColor="accent1"/>
                <w:sz w:val="24"/>
                <w:szCs w:val="24"/>
              </w:rPr>
            </w:pPr>
            <w:r w:rsidRPr="00C27188">
              <w:rPr>
                <w:rFonts w:ascii="Times New Roman" w:hAnsi="Times New Roman" w:cs="Times New Roman"/>
                <w:color w:val="4472C4" w:themeColor="accent1"/>
                <w:sz w:val="24"/>
                <w:szCs w:val="24"/>
              </w:rPr>
              <w:t>556</w:t>
            </w:r>
          </w:p>
        </w:tc>
      </w:tr>
      <w:tr w:rsidR="00024CE7" w:rsidRPr="00C27188" w14:paraId="4B55455A" w14:textId="77777777" w:rsidTr="00A04E8A">
        <w:tc>
          <w:tcPr>
            <w:tcW w:w="846" w:type="dxa"/>
          </w:tcPr>
          <w:p w14:paraId="349DE392" w14:textId="77777777" w:rsidR="009650D1" w:rsidRPr="00C27188" w:rsidRDefault="009650D1" w:rsidP="00F17861">
            <w:pPr>
              <w:jc w:val="both"/>
              <w:rPr>
                <w:rFonts w:ascii="Times New Roman" w:hAnsi="Times New Roman" w:cs="Times New Roman"/>
                <w:color w:val="4472C4" w:themeColor="accent1"/>
                <w:sz w:val="24"/>
                <w:szCs w:val="24"/>
              </w:rPr>
            </w:pPr>
            <w:r w:rsidRPr="00C27188">
              <w:rPr>
                <w:rFonts w:ascii="Times New Roman" w:hAnsi="Times New Roman" w:cs="Times New Roman"/>
                <w:color w:val="4472C4" w:themeColor="accent1"/>
                <w:sz w:val="24"/>
                <w:szCs w:val="24"/>
              </w:rPr>
              <w:t>2018</w:t>
            </w:r>
          </w:p>
        </w:tc>
        <w:tc>
          <w:tcPr>
            <w:tcW w:w="1701" w:type="dxa"/>
          </w:tcPr>
          <w:p w14:paraId="283033E7" w14:textId="77777777" w:rsidR="009650D1" w:rsidRPr="00C27188" w:rsidRDefault="009650D1" w:rsidP="00F17861">
            <w:pPr>
              <w:jc w:val="both"/>
              <w:rPr>
                <w:rFonts w:ascii="Times New Roman" w:hAnsi="Times New Roman" w:cs="Times New Roman"/>
                <w:color w:val="4472C4" w:themeColor="accent1"/>
                <w:sz w:val="24"/>
                <w:szCs w:val="24"/>
              </w:rPr>
            </w:pPr>
            <w:r w:rsidRPr="00C27188">
              <w:rPr>
                <w:rFonts w:ascii="Times New Roman" w:hAnsi="Times New Roman" w:cs="Times New Roman"/>
                <w:color w:val="4472C4" w:themeColor="accent1"/>
                <w:sz w:val="24"/>
                <w:szCs w:val="24"/>
              </w:rPr>
              <w:t>8 640</w:t>
            </w:r>
          </w:p>
        </w:tc>
        <w:tc>
          <w:tcPr>
            <w:tcW w:w="1843" w:type="dxa"/>
          </w:tcPr>
          <w:p w14:paraId="5C43F2EB" w14:textId="77777777" w:rsidR="009650D1" w:rsidRPr="00C27188" w:rsidRDefault="009650D1" w:rsidP="00F17861">
            <w:pPr>
              <w:jc w:val="both"/>
              <w:rPr>
                <w:rFonts w:ascii="Times New Roman" w:hAnsi="Times New Roman" w:cs="Times New Roman"/>
                <w:color w:val="4472C4" w:themeColor="accent1"/>
                <w:sz w:val="24"/>
                <w:szCs w:val="24"/>
              </w:rPr>
            </w:pPr>
            <w:r w:rsidRPr="00C27188">
              <w:rPr>
                <w:rFonts w:ascii="Times New Roman" w:hAnsi="Times New Roman" w:cs="Times New Roman"/>
                <w:color w:val="4472C4" w:themeColor="accent1"/>
                <w:sz w:val="24"/>
                <w:szCs w:val="24"/>
              </w:rPr>
              <w:t>7 799</w:t>
            </w:r>
          </w:p>
        </w:tc>
        <w:tc>
          <w:tcPr>
            <w:tcW w:w="2551" w:type="dxa"/>
          </w:tcPr>
          <w:p w14:paraId="35CAFE95" w14:textId="77777777" w:rsidR="009650D1" w:rsidRPr="00C27188" w:rsidRDefault="009650D1" w:rsidP="00F17861">
            <w:pPr>
              <w:jc w:val="both"/>
              <w:rPr>
                <w:rFonts w:ascii="Times New Roman" w:hAnsi="Times New Roman" w:cs="Times New Roman"/>
                <w:color w:val="4472C4" w:themeColor="accent1"/>
                <w:sz w:val="24"/>
                <w:szCs w:val="24"/>
              </w:rPr>
            </w:pPr>
            <w:r w:rsidRPr="00C27188">
              <w:rPr>
                <w:rFonts w:ascii="Times New Roman" w:hAnsi="Times New Roman" w:cs="Times New Roman"/>
                <w:color w:val="4472C4" w:themeColor="accent1"/>
                <w:sz w:val="24"/>
                <w:szCs w:val="24"/>
              </w:rPr>
              <w:t>203</w:t>
            </w:r>
          </w:p>
        </w:tc>
        <w:tc>
          <w:tcPr>
            <w:tcW w:w="2126" w:type="dxa"/>
          </w:tcPr>
          <w:p w14:paraId="47957278" w14:textId="77777777" w:rsidR="009650D1" w:rsidRPr="00C27188" w:rsidRDefault="009650D1" w:rsidP="00F17861">
            <w:pPr>
              <w:jc w:val="both"/>
              <w:rPr>
                <w:rFonts w:ascii="Times New Roman" w:hAnsi="Times New Roman" w:cs="Times New Roman"/>
                <w:color w:val="4472C4" w:themeColor="accent1"/>
                <w:sz w:val="24"/>
                <w:szCs w:val="24"/>
              </w:rPr>
            </w:pPr>
            <w:r w:rsidRPr="00C27188">
              <w:rPr>
                <w:rFonts w:ascii="Times New Roman" w:hAnsi="Times New Roman" w:cs="Times New Roman"/>
                <w:color w:val="4472C4" w:themeColor="accent1"/>
                <w:sz w:val="24"/>
                <w:szCs w:val="24"/>
              </w:rPr>
              <w:t>545</w:t>
            </w:r>
          </w:p>
        </w:tc>
      </w:tr>
      <w:tr w:rsidR="00024CE7" w:rsidRPr="00C27188" w14:paraId="68B9550D" w14:textId="77777777" w:rsidTr="00A04E8A">
        <w:tc>
          <w:tcPr>
            <w:tcW w:w="846" w:type="dxa"/>
          </w:tcPr>
          <w:p w14:paraId="79B79AC6" w14:textId="7223FB63" w:rsidR="009650D1" w:rsidRPr="00C27188" w:rsidRDefault="009650D1" w:rsidP="009650D1">
            <w:pPr>
              <w:jc w:val="both"/>
              <w:rPr>
                <w:rFonts w:ascii="Times New Roman" w:hAnsi="Times New Roman" w:cs="Times New Roman"/>
                <w:color w:val="4472C4" w:themeColor="accent1"/>
                <w:sz w:val="24"/>
                <w:szCs w:val="24"/>
              </w:rPr>
            </w:pPr>
            <w:r w:rsidRPr="00C27188">
              <w:rPr>
                <w:rFonts w:ascii="Times New Roman" w:hAnsi="Times New Roman" w:cs="Times New Roman"/>
                <w:color w:val="4472C4" w:themeColor="accent1"/>
                <w:sz w:val="24"/>
                <w:szCs w:val="24"/>
              </w:rPr>
              <w:t>2017</w:t>
            </w:r>
          </w:p>
        </w:tc>
        <w:tc>
          <w:tcPr>
            <w:tcW w:w="1701" w:type="dxa"/>
          </w:tcPr>
          <w:p w14:paraId="3C045A1C" w14:textId="1D09202E" w:rsidR="009650D1" w:rsidRPr="00C27188" w:rsidRDefault="009650D1" w:rsidP="009650D1">
            <w:pPr>
              <w:jc w:val="both"/>
              <w:rPr>
                <w:rFonts w:ascii="Times New Roman" w:hAnsi="Times New Roman" w:cs="Times New Roman"/>
                <w:color w:val="4472C4" w:themeColor="accent1"/>
                <w:sz w:val="24"/>
                <w:szCs w:val="24"/>
              </w:rPr>
            </w:pPr>
            <w:r w:rsidRPr="00C27188">
              <w:rPr>
                <w:rFonts w:ascii="Times New Roman" w:hAnsi="Times New Roman" w:cs="Times New Roman"/>
                <w:color w:val="4472C4" w:themeColor="accent1"/>
                <w:sz w:val="24"/>
                <w:szCs w:val="24"/>
              </w:rPr>
              <w:t>8 518</w:t>
            </w:r>
          </w:p>
        </w:tc>
        <w:tc>
          <w:tcPr>
            <w:tcW w:w="1843" w:type="dxa"/>
          </w:tcPr>
          <w:p w14:paraId="0E01B65F" w14:textId="71A79257" w:rsidR="009650D1" w:rsidRPr="00C27188" w:rsidRDefault="009650D1" w:rsidP="009650D1">
            <w:pPr>
              <w:jc w:val="both"/>
              <w:rPr>
                <w:rFonts w:ascii="Times New Roman" w:hAnsi="Times New Roman" w:cs="Times New Roman"/>
                <w:color w:val="4472C4" w:themeColor="accent1"/>
                <w:sz w:val="24"/>
                <w:szCs w:val="24"/>
              </w:rPr>
            </w:pPr>
            <w:r w:rsidRPr="00C27188">
              <w:rPr>
                <w:rFonts w:ascii="Times New Roman" w:hAnsi="Times New Roman" w:cs="Times New Roman"/>
                <w:color w:val="4472C4" w:themeColor="accent1"/>
                <w:sz w:val="24"/>
                <w:szCs w:val="24"/>
              </w:rPr>
              <w:t>7 726</w:t>
            </w:r>
          </w:p>
        </w:tc>
        <w:tc>
          <w:tcPr>
            <w:tcW w:w="2551" w:type="dxa"/>
          </w:tcPr>
          <w:p w14:paraId="72BE17F3" w14:textId="30D6A387" w:rsidR="009650D1" w:rsidRPr="00C27188" w:rsidRDefault="009650D1" w:rsidP="009650D1">
            <w:pPr>
              <w:jc w:val="both"/>
              <w:rPr>
                <w:rFonts w:ascii="Times New Roman" w:hAnsi="Times New Roman" w:cs="Times New Roman"/>
                <w:color w:val="4472C4" w:themeColor="accent1"/>
                <w:sz w:val="24"/>
                <w:szCs w:val="24"/>
              </w:rPr>
            </w:pPr>
            <w:r w:rsidRPr="00C27188">
              <w:rPr>
                <w:rFonts w:ascii="Times New Roman" w:hAnsi="Times New Roman" w:cs="Times New Roman"/>
                <w:color w:val="4472C4" w:themeColor="accent1"/>
                <w:sz w:val="24"/>
                <w:szCs w:val="24"/>
              </w:rPr>
              <w:t>188</w:t>
            </w:r>
          </w:p>
        </w:tc>
        <w:tc>
          <w:tcPr>
            <w:tcW w:w="2126" w:type="dxa"/>
          </w:tcPr>
          <w:p w14:paraId="01A9C363" w14:textId="3CE818D7" w:rsidR="009650D1" w:rsidRPr="00C27188" w:rsidRDefault="009650D1" w:rsidP="009650D1">
            <w:pPr>
              <w:jc w:val="both"/>
              <w:rPr>
                <w:rFonts w:ascii="Times New Roman" w:hAnsi="Times New Roman" w:cs="Times New Roman"/>
                <w:color w:val="4472C4" w:themeColor="accent1"/>
                <w:sz w:val="24"/>
                <w:szCs w:val="24"/>
              </w:rPr>
            </w:pPr>
            <w:r w:rsidRPr="00C27188">
              <w:rPr>
                <w:rFonts w:ascii="Times New Roman" w:hAnsi="Times New Roman" w:cs="Times New Roman"/>
                <w:color w:val="4472C4" w:themeColor="accent1"/>
                <w:sz w:val="24"/>
                <w:szCs w:val="24"/>
              </w:rPr>
              <w:t>530</w:t>
            </w:r>
          </w:p>
        </w:tc>
      </w:tr>
    </w:tbl>
    <w:p w14:paraId="08094226" w14:textId="05A0253F" w:rsidR="001F7694" w:rsidRPr="00C27188" w:rsidRDefault="001F7694" w:rsidP="0066466E">
      <w:pPr>
        <w:jc w:val="both"/>
        <w:rPr>
          <w:rFonts w:ascii="Times New Roman" w:hAnsi="Times New Roman" w:cs="Times New Roman"/>
          <w:color w:val="4472C4" w:themeColor="accent1"/>
          <w:sz w:val="24"/>
          <w:szCs w:val="24"/>
        </w:rPr>
      </w:pPr>
    </w:p>
    <w:p w14:paraId="6BC1834D" w14:textId="333576E2" w:rsidR="00A12FF5" w:rsidRDefault="004F325F" w:rsidP="0066466E">
      <w:pPr>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As</w:t>
      </w:r>
      <w:r w:rsidR="00A12FF5" w:rsidRPr="00C27188">
        <w:rPr>
          <w:rFonts w:ascii="Times New Roman" w:hAnsi="Times New Roman" w:cs="Times New Roman"/>
          <w:color w:val="4472C4" w:themeColor="accent1"/>
          <w:sz w:val="24"/>
          <w:szCs w:val="24"/>
        </w:rPr>
        <w:t xml:space="preserve"> there was no possibility of out-of-court divorces in Lithuania until 2023</w:t>
      </w:r>
      <w:r w:rsidR="00787CB6" w:rsidRPr="00C27188">
        <w:rPr>
          <w:rFonts w:ascii="Times New Roman" w:hAnsi="Times New Roman" w:cs="Times New Roman"/>
          <w:color w:val="4472C4" w:themeColor="accent1"/>
          <w:sz w:val="24"/>
          <w:szCs w:val="24"/>
        </w:rPr>
        <w:t>,</w:t>
      </w:r>
      <w:r w:rsidR="00CC2E29" w:rsidRPr="00C27188">
        <w:rPr>
          <w:rFonts w:ascii="Times New Roman" w:hAnsi="Times New Roman" w:cs="Times New Roman"/>
          <w:color w:val="4472C4" w:themeColor="accent1"/>
          <w:sz w:val="24"/>
          <w:szCs w:val="24"/>
        </w:rPr>
        <w:t xml:space="preserve"> all divorce cases </w:t>
      </w:r>
      <w:r w:rsidR="00D35FC8">
        <w:rPr>
          <w:rFonts w:ascii="Times New Roman" w:hAnsi="Times New Roman" w:cs="Times New Roman"/>
          <w:color w:val="4472C4" w:themeColor="accent1"/>
          <w:sz w:val="24"/>
          <w:szCs w:val="24"/>
        </w:rPr>
        <w:t xml:space="preserve">that proceeded in Lithuania </w:t>
      </w:r>
      <w:r>
        <w:rPr>
          <w:rFonts w:ascii="Times New Roman" w:hAnsi="Times New Roman" w:cs="Times New Roman"/>
          <w:color w:val="4472C4" w:themeColor="accent1"/>
          <w:sz w:val="24"/>
          <w:szCs w:val="24"/>
        </w:rPr>
        <w:t xml:space="preserve">had to </w:t>
      </w:r>
      <w:r w:rsidR="00CC2E29" w:rsidRPr="00C27188">
        <w:rPr>
          <w:rFonts w:ascii="Times New Roman" w:hAnsi="Times New Roman" w:cs="Times New Roman"/>
          <w:color w:val="4472C4" w:themeColor="accent1"/>
          <w:sz w:val="24"/>
          <w:szCs w:val="24"/>
        </w:rPr>
        <w:t>reach courts</w:t>
      </w:r>
      <w:r w:rsidR="00A12FF5" w:rsidRPr="00C27188">
        <w:rPr>
          <w:rFonts w:ascii="Times New Roman" w:hAnsi="Times New Roman" w:cs="Times New Roman"/>
          <w:color w:val="4472C4" w:themeColor="accent1"/>
          <w:sz w:val="24"/>
          <w:szCs w:val="24"/>
        </w:rPr>
        <w:t xml:space="preserve"> (divorce before the notary is foreseen only as of 1 January 2023)</w:t>
      </w:r>
      <w:r w:rsidR="00803BE2" w:rsidRPr="00C27188">
        <w:rPr>
          <w:rFonts w:ascii="Times New Roman" w:hAnsi="Times New Roman" w:cs="Times New Roman"/>
          <w:color w:val="4472C4" w:themeColor="accent1"/>
          <w:sz w:val="24"/>
          <w:szCs w:val="24"/>
        </w:rPr>
        <w:t>.</w:t>
      </w:r>
      <w:r w:rsidR="00803BE2" w:rsidRPr="00C27188">
        <w:rPr>
          <w:rStyle w:val="FootnoteReference"/>
          <w:rFonts w:ascii="Times New Roman" w:hAnsi="Times New Roman" w:cs="Times New Roman"/>
          <w:color w:val="4472C4" w:themeColor="accent1"/>
          <w:sz w:val="24"/>
          <w:szCs w:val="24"/>
        </w:rPr>
        <w:footnoteReference w:id="2"/>
      </w:r>
    </w:p>
    <w:p w14:paraId="233BE421" w14:textId="70AE5648" w:rsidR="00683EB6" w:rsidRDefault="00683EB6" w:rsidP="0066466E">
      <w:pPr>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 xml:space="preserve">As for </w:t>
      </w:r>
      <w:r w:rsidR="004F325F">
        <w:rPr>
          <w:rFonts w:ascii="Times New Roman" w:hAnsi="Times New Roman" w:cs="Times New Roman"/>
          <w:color w:val="4472C4" w:themeColor="accent1"/>
          <w:sz w:val="24"/>
          <w:szCs w:val="24"/>
        </w:rPr>
        <w:t xml:space="preserve">family </w:t>
      </w:r>
      <w:r>
        <w:rPr>
          <w:rFonts w:ascii="Times New Roman" w:hAnsi="Times New Roman" w:cs="Times New Roman"/>
          <w:color w:val="4472C4" w:themeColor="accent1"/>
          <w:sz w:val="24"/>
          <w:szCs w:val="24"/>
        </w:rPr>
        <w:t xml:space="preserve">cases involving children, </w:t>
      </w:r>
      <w:r w:rsidR="004F325F">
        <w:rPr>
          <w:rFonts w:ascii="Times New Roman" w:hAnsi="Times New Roman" w:cs="Times New Roman"/>
          <w:color w:val="4472C4" w:themeColor="accent1"/>
          <w:sz w:val="24"/>
          <w:szCs w:val="24"/>
        </w:rPr>
        <w:t>the majority</w:t>
      </w:r>
      <w:r>
        <w:rPr>
          <w:rFonts w:ascii="Times New Roman" w:hAnsi="Times New Roman" w:cs="Times New Roman"/>
          <w:color w:val="4472C4" w:themeColor="accent1"/>
          <w:sz w:val="24"/>
          <w:szCs w:val="24"/>
        </w:rPr>
        <w:t xml:space="preserve"> of them reach social services </w:t>
      </w:r>
      <w:r w:rsidR="004F325F">
        <w:rPr>
          <w:rFonts w:ascii="Times New Roman" w:hAnsi="Times New Roman" w:cs="Times New Roman"/>
          <w:color w:val="4472C4" w:themeColor="accent1"/>
          <w:sz w:val="24"/>
          <w:szCs w:val="24"/>
        </w:rPr>
        <w:t>led by</w:t>
      </w:r>
      <w:r w:rsidR="004333C1">
        <w:rPr>
          <w:rFonts w:ascii="Times New Roman" w:hAnsi="Times New Roman" w:cs="Times New Roman"/>
          <w:color w:val="4472C4" w:themeColor="accent1"/>
          <w:sz w:val="24"/>
          <w:szCs w:val="24"/>
        </w:rPr>
        <w:t xml:space="preserve"> the </w:t>
      </w:r>
      <w:r w:rsidR="004333C1" w:rsidRPr="004333C1">
        <w:rPr>
          <w:rFonts w:ascii="Times New Roman" w:hAnsi="Times New Roman" w:cs="Times New Roman"/>
          <w:color w:val="4472C4" w:themeColor="accent1"/>
          <w:sz w:val="24"/>
          <w:szCs w:val="24"/>
        </w:rPr>
        <w:t>State Child Rights Protection and Adoption Service under the Ministry of Social Security and Labour</w:t>
      </w:r>
      <w:r>
        <w:rPr>
          <w:rFonts w:ascii="Times New Roman" w:hAnsi="Times New Roman" w:cs="Times New Roman"/>
          <w:color w:val="4472C4" w:themeColor="accent1"/>
          <w:sz w:val="24"/>
          <w:szCs w:val="24"/>
        </w:rPr>
        <w:t>, therefore, it is worth to look at their statistics. According to the Annual Report</w:t>
      </w:r>
      <w:r w:rsidR="00EE760D">
        <w:rPr>
          <w:rStyle w:val="FootnoteReference"/>
          <w:rFonts w:ascii="Times New Roman" w:hAnsi="Times New Roman" w:cs="Times New Roman"/>
          <w:color w:val="4472C4" w:themeColor="accent1"/>
          <w:sz w:val="24"/>
          <w:szCs w:val="24"/>
        </w:rPr>
        <w:footnoteReference w:id="3"/>
      </w:r>
      <w:r>
        <w:rPr>
          <w:rFonts w:ascii="Times New Roman" w:hAnsi="Times New Roman" w:cs="Times New Roman"/>
          <w:color w:val="4472C4" w:themeColor="accent1"/>
          <w:sz w:val="24"/>
          <w:szCs w:val="24"/>
        </w:rPr>
        <w:t xml:space="preserve">, </w:t>
      </w:r>
      <w:r w:rsidR="00D35FC8">
        <w:rPr>
          <w:rFonts w:ascii="Times New Roman" w:hAnsi="Times New Roman" w:cs="Times New Roman"/>
          <w:color w:val="4472C4" w:themeColor="accent1"/>
          <w:sz w:val="24"/>
          <w:szCs w:val="24"/>
        </w:rPr>
        <w:t>i</w:t>
      </w:r>
      <w:r w:rsidRPr="00683EB6">
        <w:rPr>
          <w:rFonts w:ascii="Times New Roman" w:hAnsi="Times New Roman" w:cs="Times New Roman"/>
          <w:color w:val="4472C4" w:themeColor="accent1"/>
          <w:sz w:val="24"/>
          <w:szCs w:val="24"/>
        </w:rPr>
        <w:t xml:space="preserve">n 2021, the </w:t>
      </w:r>
      <w:r w:rsidR="004333C1">
        <w:rPr>
          <w:rFonts w:ascii="Times New Roman" w:hAnsi="Times New Roman" w:cs="Times New Roman"/>
          <w:color w:val="4472C4" w:themeColor="accent1"/>
          <w:sz w:val="24"/>
          <w:szCs w:val="24"/>
        </w:rPr>
        <w:t>Service</w:t>
      </w:r>
      <w:r w:rsidRPr="00683EB6">
        <w:rPr>
          <w:rFonts w:ascii="Times New Roman" w:hAnsi="Times New Roman" w:cs="Times New Roman"/>
          <w:color w:val="4472C4" w:themeColor="accent1"/>
          <w:sz w:val="24"/>
          <w:szCs w:val="24"/>
        </w:rPr>
        <w:t xml:space="preserve"> received 232 notifications concerning 322 children in foreign countries and Lithuania who were in need of international protection measures.</w:t>
      </w:r>
      <w:r w:rsidRPr="00683EB6">
        <w:t xml:space="preserve"> </w:t>
      </w:r>
      <w:r w:rsidRPr="00683EB6">
        <w:rPr>
          <w:rFonts w:ascii="Times New Roman" w:hAnsi="Times New Roman" w:cs="Times New Roman"/>
          <w:color w:val="4472C4" w:themeColor="accent1"/>
          <w:sz w:val="24"/>
          <w:szCs w:val="24"/>
        </w:rPr>
        <w:t>In 2021, out of 232 notifications, 165 concerned 228 children (71%) in foreign countries who were in need of international protection measures and 67 concerned 95 children (29%) in Lithuania who were in need of international protection measures.</w:t>
      </w:r>
      <w:r>
        <w:rPr>
          <w:rFonts w:ascii="Times New Roman" w:hAnsi="Times New Roman" w:cs="Times New Roman"/>
          <w:color w:val="4472C4" w:themeColor="accent1"/>
          <w:sz w:val="24"/>
          <w:szCs w:val="24"/>
        </w:rPr>
        <w:t xml:space="preserve"> Almost half of the situations concern the EU countries, and half – non-EU countries. As for non-EU countries, around 80-85 percent of cases </w:t>
      </w:r>
      <w:r>
        <w:rPr>
          <w:rFonts w:ascii="Times New Roman" w:hAnsi="Times New Roman" w:cs="Times New Roman"/>
          <w:color w:val="4472C4" w:themeColor="accent1"/>
          <w:sz w:val="24"/>
          <w:szCs w:val="24"/>
        </w:rPr>
        <w:lastRenderedPageBreak/>
        <w:t xml:space="preserve">were linked to the UK, and the rest (just </w:t>
      </w:r>
      <w:r w:rsidR="00093BC7">
        <w:rPr>
          <w:rFonts w:ascii="Times New Roman" w:hAnsi="Times New Roman" w:cs="Times New Roman"/>
          <w:color w:val="4472C4" w:themeColor="accent1"/>
          <w:sz w:val="24"/>
          <w:szCs w:val="24"/>
        </w:rPr>
        <w:t xml:space="preserve">a </w:t>
      </w:r>
      <w:r>
        <w:rPr>
          <w:rFonts w:ascii="Times New Roman" w:hAnsi="Times New Roman" w:cs="Times New Roman"/>
          <w:color w:val="4472C4" w:themeColor="accent1"/>
          <w:sz w:val="24"/>
          <w:szCs w:val="24"/>
        </w:rPr>
        <w:t xml:space="preserve">few cases </w:t>
      </w:r>
      <w:r w:rsidR="00D35FC8">
        <w:rPr>
          <w:rFonts w:ascii="Times New Roman" w:hAnsi="Times New Roman" w:cs="Times New Roman"/>
          <w:color w:val="4472C4" w:themeColor="accent1"/>
          <w:sz w:val="24"/>
          <w:szCs w:val="24"/>
        </w:rPr>
        <w:t>per</w:t>
      </w:r>
      <w:r>
        <w:rPr>
          <w:rFonts w:ascii="Times New Roman" w:hAnsi="Times New Roman" w:cs="Times New Roman"/>
          <w:color w:val="4472C4" w:themeColor="accent1"/>
          <w:sz w:val="24"/>
          <w:szCs w:val="24"/>
        </w:rPr>
        <w:t xml:space="preserve"> state) –</w:t>
      </w:r>
      <w:r w:rsidR="00D35FC8">
        <w:rPr>
          <w:rFonts w:ascii="Times New Roman" w:hAnsi="Times New Roman" w:cs="Times New Roman"/>
          <w:color w:val="4472C4" w:themeColor="accent1"/>
          <w:sz w:val="24"/>
          <w:szCs w:val="24"/>
        </w:rPr>
        <w:t xml:space="preserve"> </w:t>
      </w:r>
      <w:r w:rsidR="004F325F">
        <w:rPr>
          <w:rFonts w:ascii="Times New Roman" w:hAnsi="Times New Roman" w:cs="Times New Roman"/>
          <w:color w:val="4472C4" w:themeColor="accent1"/>
          <w:sz w:val="24"/>
          <w:szCs w:val="24"/>
        </w:rPr>
        <w:t xml:space="preserve">concerned </w:t>
      </w:r>
      <w:r w:rsidR="00D35FC8">
        <w:rPr>
          <w:rFonts w:ascii="Times New Roman" w:hAnsi="Times New Roman" w:cs="Times New Roman"/>
          <w:color w:val="4472C4" w:themeColor="accent1"/>
          <w:sz w:val="24"/>
          <w:szCs w:val="24"/>
        </w:rPr>
        <w:t>Norway</w:t>
      </w:r>
      <w:r>
        <w:rPr>
          <w:rFonts w:ascii="Times New Roman" w:hAnsi="Times New Roman" w:cs="Times New Roman"/>
          <w:color w:val="4472C4" w:themeColor="accent1"/>
          <w:sz w:val="24"/>
          <w:szCs w:val="24"/>
        </w:rPr>
        <w:t xml:space="preserve">, Belarus, Russia, </w:t>
      </w:r>
      <w:r w:rsidR="00D35FC8">
        <w:rPr>
          <w:rFonts w:ascii="Times New Roman" w:hAnsi="Times New Roman" w:cs="Times New Roman"/>
          <w:color w:val="4472C4" w:themeColor="accent1"/>
          <w:sz w:val="24"/>
          <w:szCs w:val="24"/>
        </w:rPr>
        <w:t xml:space="preserve">the </w:t>
      </w:r>
      <w:r>
        <w:rPr>
          <w:rFonts w:ascii="Times New Roman" w:hAnsi="Times New Roman" w:cs="Times New Roman"/>
          <w:color w:val="4472C4" w:themeColor="accent1"/>
          <w:sz w:val="24"/>
          <w:szCs w:val="24"/>
        </w:rPr>
        <w:t xml:space="preserve">US, </w:t>
      </w:r>
      <w:r w:rsidR="00D35FC8">
        <w:rPr>
          <w:rFonts w:ascii="Times New Roman" w:hAnsi="Times New Roman" w:cs="Times New Roman"/>
          <w:color w:val="4472C4" w:themeColor="accent1"/>
          <w:sz w:val="24"/>
          <w:szCs w:val="24"/>
        </w:rPr>
        <w:t xml:space="preserve">the </w:t>
      </w:r>
      <w:r>
        <w:rPr>
          <w:rFonts w:ascii="Times New Roman" w:hAnsi="Times New Roman" w:cs="Times New Roman"/>
          <w:color w:val="4472C4" w:themeColor="accent1"/>
          <w:sz w:val="24"/>
          <w:szCs w:val="24"/>
        </w:rPr>
        <w:t xml:space="preserve">Philippines, </w:t>
      </w:r>
      <w:r w:rsidR="00D35FC8">
        <w:rPr>
          <w:rFonts w:ascii="Times New Roman" w:hAnsi="Times New Roman" w:cs="Times New Roman"/>
          <w:color w:val="4472C4" w:themeColor="accent1"/>
          <w:sz w:val="24"/>
          <w:szCs w:val="24"/>
        </w:rPr>
        <w:t xml:space="preserve">and </w:t>
      </w:r>
      <w:r>
        <w:rPr>
          <w:rFonts w:ascii="Times New Roman" w:hAnsi="Times New Roman" w:cs="Times New Roman"/>
          <w:color w:val="4472C4" w:themeColor="accent1"/>
          <w:sz w:val="24"/>
          <w:szCs w:val="24"/>
        </w:rPr>
        <w:t xml:space="preserve">Nigeria. </w:t>
      </w:r>
    </w:p>
    <w:p w14:paraId="56981AE8" w14:textId="7FC2B12F" w:rsidR="00EE760D" w:rsidRPr="00EE760D" w:rsidRDefault="00EE760D" w:rsidP="00EE760D">
      <w:pPr>
        <w:jc w:val="both"/>
        <w:rPr>
          <w:rFonts w:ascii="Times New Roman" w:hAnsi="Times New Roman" w:cs="Times New Roman"/>
          <w:color w:val="4472C4" w:themeColor="accent1"/>
          <w:sz w:val="24"/>
          <w:szCs w:val="24"/>
        </w:rPr>
      </w:pPr>
      <w:r w:rsidRPr="00EE760D">
        <w:rPr>
          <w:rFonts w:ascii="Times New Roman" w:hAnsi="Times New Roman" w:cs="Times New Roman"/>
          <w:color w:val="4472C4" w:themeColor="accent1"/>
          <w:sz w:val="24"/>
          <w:szCs w:val="24"/>
        </w:rPr>
        <w:t xml:space="preserve">The </w:t>
      </w:r>
      <w:r w:rsidR="004333C1" w:rsidRPr="004333C1">
        <w:rPr>
          <w:rFonts w:ascii="Times New Roman" w:hAnsi="Times New Roman" w:cs="Times New Roman"/>
          <w:color w:val="4472C4" w:themeColor="accent1"/>
          <w:sz w:val="24"/>
          <w:szCs w:val="24"/>
        </w:rPr>
        <w:t xml:space="preserve">State Child Rights Protection and Adoption Service </w:t>
      </w:r>
      <w:r w:rsidR="004333C1">
        <w:rPr>
          <w:rFonts w:ascii="Times New Roman" w:hAnsi="Times New Roman" w:cs="Times New Roman"/>
          <w:color w:val="4472C4" w:themeColor="accent1"/>
          <w:sz w:val="24"/>
          <w:szCs w:val="24"/>
        </w:rPr>
        <w:t xml:space="preserve">also </w:t>
      </w:r>
      <w:r w:rsidRPr="00EE760D">
        <w:rPr>
          <w:rFonts w:ascii="Times New Roman" w:hAnsi="Times New Roman" w:cs="Times New Roman"/>
          <w:color w:val="4472C4" w:themeColor="accent1"/>
          <w:sz w:val="24"/>
          <w:szCs w:val="24"/>
        </w:rPr>
        <w:t>performs the functions of a central authority for the fulfilment of the obligations laid down in the 1980 Hague Convention and the 1996 Hague Convention</w:t>
      </w:r>
      <w:r>
        <w:rPr>
          <w:rFonts w:ascii="Times New Roman" w:hAnsi="Times New Roman" w:cs="Times New Roman"/>
          <w:color w:val="4472C4" w:themeColor="accent1"/>
          <w:sz w:val="24"/>
          <w:szCs w:val="24"/>
        </w:rPr>
        <w:t>,</w:t>
      </w:r>
      <w:r w:rsidRPr="00EE760D">
        <w:rPr>
          <w:rFonts w:ascii="Times New Roman" w:hAnsi="Times New Roman" w:cs="Times New Roman"/>
          <w:color w:val="4472C4" w:themeColor="accent1"/>
          <w:sz w:val="24"/>
          <w:szCs w:val="24"/>
        </w:rPr>
        <w:t xml:space="preserve"> as well as in </w:t>
      </w:r>
      <w:r w:rsidR="00093BC7">
        <w:rPr>
          <w:rFonts w:ascii="Times New Roman" w:hAnsi="Times New Roman" w:cs="Times New Roman"/>
          <w:color w:val="4472C4" w:themeColor="accent1"/>
          <w:sz w:val="24"/>
          <w:szCs w:val="24"/>
        </w:rPr>
        <w:t xml:space="preserve">the </w:t>
      </w:r>
      <w:r w:rsidRPr="00EE760D">
        <w:rPr>
          <w:rFonts w:ascii="Times New Roman" w:hAnsi="Times New Roman" w:cs="Times New Roman"/>
          <w:color w:val="4472C4" w:themeColor="accent1"/>
          <w:sz w:val="24"/>
          <w:szCs w:val="24"/>
        </w:rPr>
        <w:t xml:space="preserve">Regulation </w:t>
      </w:r>
      <w:r>
        <w:rPr>
          <w:rFonts w:ascii="Times New Roman" w:hAnsi="Times New Roman" w:cs="Times New Roman"/>
          <w:color w:val="4472C4" w:themeColor="accent1"/>
          <w:sz w:val="24"/>
          <w:szCs w:val="24"/>
        </w:rPr>
        <w:t>Brussels IIter</w:t>
      </w:r>
      <w:r w:rsidRPr="00EE760D">
        <w:rPr>
          <w:rFonts w:ascii="Times New Roman" w:hAnsi="Times New Roman" w:cs="Times New Roman"/>
          <w:color w:val="4472C4" w:themeColor="accent1"/>
          <w:sz w:val="24"/>
          <w:szCs w:val="24"/>
        </w:rPr>
        <w:t>.</w:t>
      </w:r>
      <w:r>
        <w:rPr>
          <w:rFonts w:ascii="Times New Roman" w:hAnsi="Times New Roman" w:cs="Times New Roman"/>
          <w:color w:val="4472C4" w:themeColor="accent1"/>
          <w:sz w:val="24"/>
          <w:szCs w:val="24"/>
        </w:rPr>
        <w:t xml:space="preserve"> </w:t>
      </w:r>
      <w:r w:rsidRPr="00EE760D">
        <w:rPr>
          <w:rFonts w:ascii="Times New Roman" w:hAnsi="Times New Roman" w:cs="Times New Roman"/>
          <w:color w:val="4472C4" w:themeColor="accent1"/>
          <w:sz w:val="24"/>
          <w:szCs w:val="24"/>
        </w:rPr>
        <w:t xml:space="preserve">In 2021, the Office received 29 applications for the return </w:t>
      </w:r>
      <w:r>
        <w:rPr>
          <w:rFonts w:ascii="Times New Roman" w:hAnsi="Times New Roman" w:cs="Times New Roman"/>
          <w:color w:val="4472C4" w:themeColor="accent1"/>
          <w:sz w:val="24"/>
          <w:szCs w:val="24"/>
        </w:rPr>
        <w:t xml:space="preserve">of children </w:t>
      </w:r>
      <w:r w:rsidR="004333C1">
        <w:rPr>
          <w:rFonts w:ascii="Times New Roman" w:hAnsi="Times New Roman" w:cs="Times New Roman"/>
          <w:color w:val="4472C4" w:themeColor="accent1"/>
          <w:sz w:val="24"/>
          <w:szCs w:val="24"/>
        </w:rPr>
        <w:t xml:space="preserve">allegedly </w:t>
      </w:r>
      <w:r>
        <w:rPr>
          <w:rFonts w:ascii="Times New Roman" w:hAnsi="Times New Roman" w:cs="Times New Roman"/>
          <w:color w:val="4472C4" w:themeColor="accent1"/>
          <w:sz w:val="24"/>
          <w:szCs w:val="24"/>
        </w:rPr>
        <w:t xml:space="preserve">abducted from </w:t>
      </w:r>
      <w:r w:rsidRPr="00EE760D">
        <w:rPr>
          <w:rFonts w:ascii="Times New Roman" w:hAnsi="Times New Roman" w:cs="Times New Roman"/>
          <w:color w:val="4472C4" w:themeColor="accent1"/>
          <w:sz w:val="24"/>
          <w:szCs w:val="24"/>
        </w:rPr>
        <w:t xml:space="preserve">Lithuania and 16 applications for the return of children </w:t>
      </w:r>
      <w:r w:rsidR="004333C1">
        <w:rPr>
          <w:rFonts w:ascii="Times New Roman" w:hAnsi="Times New Roman" w:cs="Times New Roman"/>
          <w:color w:val="4472C4" w:themeColor="accent1"/>
          <w:sz w:val="24"/>
          <w:szCs w:val="24"/>
        </w:rPr>
        <w:t xml:space="preserve">allegedly </w:t>
      </w:r>
      <w:r>
        <w:rPr>
          <w:rFonts w:ascii="Times New Roman" w:hAnsi="Times New Roman" w:cs="Times New Roman"/>
          <w:color w:val="4472C4" w:themeColor="accent1"/>
          <w:sz w:val="24"/>
          <w:szCs w:val="24"/>
        </w:rPr>
        <w:t>abducted</w:t>
      </w:r>
      <w:r w:rsidRPr="00EE760D">
        <w:rPr>
          <w:rFonts w:ascii="Times New Roman" w:hAnsi="Times New Roman" w:cs="Times New Roman"/>
          <w:color w:val="4472C4" w:themeColor="accent1"/>
          <w:sz w:val="24"/>
          <w:szCs w:val="24"/>
        </w:rPr>
        <w:t xml:space="preserve"> </w:t>
      </w:r>
      <w:r>
        <w:rPr>
          <w:rFonts w:ascii="Times New Roman" w:hAnsi="Times New Roman" w:cs="Times New Roman"/>
          <w:color w:val="4472C4" w:themeColor="accent1"/>
          <w:sz w:val="24"/>
          <w:szCs w:val="24"/>
        </w:rPr>
        <w:t>to</w:t>
      </w:r>
      <w:r w:rsidRPr="00EE760D">
        <w:rPr>
          <w:rFonts w:ascii="Times New Roman" w:hAnsi="Times New Roman" w:cs="Times New Roman"/>
          <w:color w:val="4472C4" w:themeColor="accent1"/>
          <w:sz w:val="24"/>
          <w:szCs w:val="24"/>
        </w:rPr>
        <w:t xml:space="preserve"> Lithuania.</w:t>
      </w:r>
      <w:r>
        <w:rPr>
          <w:rFonts w:ascii="Times New Roman" w:hAnsi="Times New Roman" w:cs="Times New Roman"/>
          <w:color w:val="4472C4" w:themeColor="accent1"/>
          <w:sz w:val="24"/>
          <w:szCs w:val="24"/>
        </w:rPr>
        <w:t xml:space="preserve"> In the cases </w:t>
      </w:r>
      <w:r w:rsidR="004333C1">
        <w:rPr>
          <w:rFonts w:ascii="Times New Roman" w:hAnsi="Times New Roman" w:cs="Times New Roman"/>
          <w:color w:val="4472C4" w:themeColor="accent1"/>
          <w:sz w:val="24"/>
          <w:szCs w:val="24"/>
        </w:rPr>
        <w:t>of</w:t>
      </w:r>
      <w:r>
        <w:rPr>
          <w:rFonts w:ascii="Times New Roman" w:hAnsi="Times New Roman" w:cs="Times New Roman"/>
          <w:color w:val="4472C4" w:themeColor="accent1"/>
          <w:sz w:val="24"/>
          <w:szCs w:val="24"/>
        </w:rPr>
        <w:t xml:space="preserve"> children </w:t>
      </w:r>
      <w:r w:rsidR="004333C1">
        <w:rPr>
          <w:rFonts w:ascii="Times New Roman" w:hAnsi="Times New Roman" w:cs="Times New Roman"/>
          <w:color w:val="4472C4" w:themeColor="accent1"/>
          <w:sz w:val="24"/>
          <w:szCs w:val="24"/>
        </w:rPr>
        <w:t xml:space="preserve">allegedly </w:t>
      </w:r>
      <w:r>
        <w:rPr>
          <w:rFonts w:ascii="Times New Roman" w:hAnsi="Times New Roman" w:cs="Times New Roman"/>
          <w:color w:val="4472C4" w:themeColor="accent1"/>
          <w:sz w:val="24"/>
          <w:szCs w:val="24"/>
        </w:rPr>
        <w:t xml:space="preserve">abducted from Lithuania, most of </w:t>
      </w:r>
      <w:r w:rsidR="004333C1">
        <w:rPr>
          <w:rFonts w:ascii="Times New Roman" w:hAnsi="Times New Roman" w:cs="Times New Roman"/>
          <w:color w:val="4472C4" w:themeColor="accent1"/>
          <w:sz w:val="24"/>
          <w:szCs w:val="24"/>
        </w:rPr>
        <w:t xml:space="preserve">the </w:t>
      </w:r>
      <w:r>
        <w:rPr>
          <w:rFonts w:ascii="Times New Roman" w:hAnsi="Times New Roman" w:cs="Times New Roman"/>
          <w:color w:val="4472C4" w:themeColor="accent1"/>
          <w:sz w:val="24"/>
          <w:szCs w:val="24"/>
        </w:rPr>
        <w:t>children were removed to the UK</w:t>
      </w:r>
      <w:r w:rsidR="004333C1">
        <w:rPr>
          <w:rFonts w:ascii="Times New Roman" w:hAnsi="Times New Roman" w:cs="Times New Roman"/>
          <w:color w:val="4472C4" w:themeColor="accent1"/>
          <w:sz w:val="24"/>
          <w:szCs w:val="24"/>
        </w:rPr>
        <w:t xml:space="preserve"> (12 to England and 1 to Northern Ireland out of 38). Only 4 other cases were linked to non-EU countries. The UK was also the country from which the majority of allegedly abducted children came from.</w:t>
      </w:r>
    </w:p>
    <w:p w14:paraId="30A8D8EA" w14:textId="13B0576A" w:rsidR="00C544E3" w:rsidRPr="00C27188" w:rsidRDefault="00787CB6" w:rsidP="0066466E">
      <w:pPr>
        <w:jc w:val="both"/>
        <w:rPr>
          <w:rFonts w:ascii="Times New Roman" w:hAnsi="Times New Roman" w:cs="Times New Roman"/>
          <w:color w:val="4472C4" w:themeColor="accent1"/>
          <w:sz w:val="24"/>
          <w:szCs w:val="24"/>
        </w:rPr>
      </w:pPr>
      <w:r w:rsidRPr="00C27188">
        <w:rPr>
          <w:rFonts w:ascii="Times New Roman" w:hAnsi="Times New Roman" w:cs="Times New Roman"/>
          <w:color w:val="4472C4" w:themeColor="accent1"/>
          <w:sz w:val="24"/>
          <w:szCs w:val="24"/>
        </w:rPr>
        <w:t xml:space="preserve">In addition to reported data, a search </w:t>
      </w:r>
      <w:r w:rsidR="003B7319" w:rsidRPr="00C27188">
        <w:rPr>
          <w:rFonts w:ascii="Times New Roman" w:hAnsi="Times New Roman" w:cs="Times New Roman"/>
          <w:color w:val="4472C4" w:themeColor="accent1"/>
          <w:sz w:val="24"/>
          <w:szCs w:val="24"/>
        </w:rPr>
        <w:t xml:space="preserve">on cross-border family cases </w:t>
      </w:r>
      <w:r w:rsidRPr="00C27188">
        <w:rPr>
          <w:rFonts w:ascii="Times New Roman" w:hAnsi="Times New Roman" w:cs="Times New Roman"/>
          <w:color w:val="4472C4" w:themeColor="accent1"/>
          <w:sz w:val="24"/>
          <w:szCs w:val="24"/>
        </w:rPr>
        <w:t xml:space="preserve">was made in </w:t>
      </w:r>
      <w:r w:rsidR="00D31D1D" w:rsidRPr="00C27188">
        <w:rPr>
          <w:rFonts w:ascii="Times New Roman" w:hAnsi="Times New Roman" w:cs="Times New Roman"/>
          <w:color w:val="4472C4" w:themeColor="accent1"/>
          <w:sz w:val="24"/>
          <w:szCs w:val="24"/>
        </w:rPr>
        <w:t>the official</w:t>
      </w:r>
      <w:r w:rsidRPr="00C27188">
        <w:rPr>
          <w:rFonts w:ascii="Times New Roman" w:hAnsi="Times New Roman" w:cs="Times New Roman"/>
          <w:color w:val="4472C4" w:themeColor="accent1"/>
          <w:sz w:val="24"/>
          <w:szCs w:val="24"/>
        </w:rPr>
        <w:t xml:space="preserve"> case law </w:t>
      </w:r>
      <w:r w:rsidR="00EC7006" w:rsidRPr="00C27188">
        <w:rPr>
          <w:rFonts w:ascii="Times New Roman" w:hAnsi="Times New Roman" w:cs="Times New Roman"/>
          <w:color w:val="4472C4" w:themeColor="accent1"/>
          <w:sz w:val="24"/>
          <w:szCs w:val="24"/>
        </w:rPr>
        <w:t>database</w:t>
      </w:r>
      <w:r w:rsidR="00D31D1D" w:rsidRPr="00C27188">
        <w:rPr>
          <w:rFonts w:ascii="Times New Roman" w:hAnsi="Times New Roman" w:cs="Times New Roman"/>
          <w:color w:val="4472C4" w:themeColor="accent1"/>
          <w:sz w:val="24"/>
          <w:szCs w:val="24"/>
        </w:rPr>
        <w:t xml:space="preserve"> LITEKO</w:t>
      </w:r>
      <w:r w:rsidRPr="00C27188">
        <w:rPr>
          <w:rFonts w:ascii="Times New Roman" w:hAnsi="Times New Roman" w:cs="Times New Roman"/>
          <w:color w:val="4472C4" w:themeColor="accent1"/>
          <w:sz w:val="24"/>
          <w:szCs w:val="24"/>
        </w:rPr>
        <w:t>.</w:t>
      </w:r>
      <w:r w:rsidRPr="00C27188">
        <w:rPr>
          <w:rStyle w:val="FootnoteReference"/>
          <w:rFonts w:ascii="Times New Roman" w:hAnsi="Times New Roman" w:cs="Times New Roman"/>
          <w:color w:val="4472C4" w:themeColor="accent1"/>
          <w:sz w:val="24"/>
          <w:szCs w:val="24"/>
        </w:rPr>
        <w:footnoteReference w:id="4"/>
      </w:r>
      <w:r w:rsidR="000428A5" w:rsidRPr="00C27188">
        <w:rPr>
          <w:rFonts w:ascii="Times New Roman" w:hAnsi="Times New Roman" w:cs="Times New Roman"/>
          <w:color w:val="4472C4" w:themeColor="accent1"/>
          <w:sz w:val="24"/>
          <w:szCs w:val="24"/>
        </w:rPr>
        <w:t xml:space="preserve"> For the period 1/1/2021-31/12/2021 the search </w:t>
      </w:r>
      <w:r w:rsidR="00A350F7" w:rsidRPr="00C27188">
        <w:rPr>
          <w:rFonts w:ascii="Times New Roman" w:hAnsi="Times New Roman" w:cs="Times New Roman"/>
          <w:color w:val="4472C4" w:themeColor="accent1"/>
          <w:sz w:val="24"/>
          <w:szCs w:val="24"/>
        </w:rPr>
        <w:t xml:space="preserve">engine </w:t>
      </w:r>
      <w:r w:rsidR="000428A5" w:rsidRPr="00C27188">
        <w:rPr>
          <w:rFonts w:ascii="Times New Roman" w:hAnsi="Times New Roman" w:cs="Times New Roman"/>
          <w:color w:val="4472C4" w:themeColor="accent1"/>
          <w:sz w:val="24"/>
          <w:szCs w:val="24"/>
        </w:rPr>
        <w:t xml:space="preserve">gave </w:t>
      </w:r>
      <w:r w:rsidR="003802DB" w:rsidRPr="00C27188">
        <w:rPr>
          <w:rFonts w:ascii="Times New Roman" w:hAnsi="Times New Roman" w:cs="Times New Roman"/>
          <w:color w:val="4472C4" w:themeColor="accent1"/>
          <w:sz w:val="24"/>
          <w:szCs w:val="24"/>
        </w:rPr>
        <w:t>3751</w:t>
      </w:r>
      <w:r w:rsidR="000428A5" w:rsidRPr="00C27188">
        <w:rPr>
          <w:rFonts w:ascii="Times New Roman" w:hAnsi="Times New Roman" w:cs="Times New Roman"/>
          <w:color w:val="4472C4" w:themeColor="accent1"/>
          <w:sz w:val="24"/>
          <w:szCs w:val="24"/>
        </w:rPr>
        <w:t xml:space="preserve"> decisions. </w:t>
      </w:r>
      <w:r w:rsidR="005053C2" w:rsidRPr="00C27188">
        <w:rPr>
          <w:rFonts w:ascii="Times New Roman" w:hAnsi="Times New Roman" w:cs="Times New Roman"/>
          <w:color w:val="4472C4" w:themeColor="accent1"/>
          <w:sz w:val="24"/>
          <w:szCs w:val="24"/>
        </w:rPr>
        <w:t xml:space="preserve">When </w:t>
      </w:r>
      <w:r w:rsidR="00EC7006" w:rsidRPr="00C27188">
        <w:rPr>
          <w:rFonts w:ascii="Times New Roman" w:hAnsi="Times New Roman" w:cs="Times New Roman"/>
          <w:color w:val="4472C4" w:themeColor="accent1"/>
          <w:sz w:val="24"/>
          <w:szCs w:val="24"/>
        </w:rPr>
        <w:t>the</w:t>
      </w:r>
      <w:r w:rsidR="005053C2" w:rsidRPr="00C27188">
        <w:rPr>
          <w:rFonts w:ascii="Times New Roman" w:hAnsi="Times New Roman" w:cs="Times New Roman"/>
          <w:color w:val="4472C4" w:themeColor="accent1"/>
          <w:sz w:val="24"/>
          <w:szCs w:val="24"/>
        </w:rPr>
        <w:t xml:space="preserve"> search term “foreign” was included (a term typically appearing in cases with a foreign element, e.g. responden</w:t>
      </w:r>
      <w:r w:rsidR="00A350F7" w:rsidRPr="00C27188">
        <w:rPr>
          <w:rFonts w:ascii="Times New Roman" w:hAnsi="Times New Roman" w:cs="Times New Roman"/>
          <w:color w:val="4472C4" w:themeColor="accent1"/>
          <w:sz w:val="24"/>
          <w:szCs w:val="24"/>
        </w:rPr>
        <w:t>t</w:t>
      </w:r>
      <w:r w:rsidR="005053C2" w:rsidRPr="00C27188">
        <w:rPr>
          <w:rFonts w:ascii="Times New Roman" w:hAnsi="Times New Roman" w:cs="Times New Roman"/>
          <w:color w:val="4472C4" w:themeColor="accent1"/>
          <w:sz w:val="24"/>
          <w:szCs w:val="24"/>
        </w:rPr>
        <w:t xml:space="preserve"> </w:t>
      </w:r>
      <w:r w:rsidR="00EC7006" w:rsidRPr="00C27188">
        <w:rPr>
          <w:rFonts w:ascii="Times New Roman" w:hAnsi="Times New Roman" w:cs="Times New Roman"/>
          <w:color w:val="4472C4" w:themeColor="accent1"/>
          <w:sz w:val="24"/>
          <w:szCs w:val="24"/>
        </w:rPr>
        <w:t xml:space="preserve">who </w:t>
      </w:r>
      <w:r w:rsidR="005053C2" w:rsidRPr="00C27188">
        <w:rPr>
          <w:rFonts w:ascii="Times New Roman" w:hAnsi="Times New Roman" w:cs="Times New Roman"/>
          <w:color w:val="4472C4" w:themeColor="accent1"/>
          <w:sz w:val="24"/>
          <w:szCs w:val="24"/>
        </w:rPr>
        <w:t xml:space="preserve">lived abroad, or the property was in a foreign state), 472 cases were listed. However, the search engine does not give </w:t>
      </w:r>
      <w:r w:rsidR="00D31D1D" w:rsidRPr="00C27188">
        <w:rPr>
          <w:rFonts w:ascii="Times New Roman" w:hAnsi="Times New Roman" w:cs="Times New Roman"/>
          <w:color w:val="4472C4" w:themeColor="accent1"/>
          <w:sz w:val="24"/>
          <w:szCs w:val="24"/>
        </w:rPr>
        <w:t>the</w:t>
      </w:r>
      <w:r w:rsidR="005053C2" w:rsidRPr="00C27188">
        <w:rPr>
          <w:rFonts w:ascii="Times New Roman" w:hAnsi="Times New Roman" w:cs="Times New Roman"/>
          <w:color w:val="4472C4" w:themeColor="accent1"/>
          <w:sz w:val="24"/>
          <w:szCs w:val="24"/>
        </w:rPr>
        <w:t xml:space="preserve"> option to filter the cases by country </w:t>
      </w:r>
      <w:r w:rsidR="00EC7006" w:rsidRPr="00C27188">
        <w:rPr>
          <w:rFonts w:ascii="Times New Roman" w:hAnsi="Times New Roman" w:cs="Times New Roman"/>
          <w:color w:val="4472C4" w:themeColor="accent1"/>
          <w:sz w:val="24"/>
          <w:szCs w:val="24"/>
        </w:rPr>
        <w:t>involved</w:t>
      </w:r>
      <w:r w:rsidR="005053C2" w:rsidRPr="00C27188">
        <w:rPr>
          <w:rFonts w:ascii="Times New Roman" w:hAnsi="Times New Roman" w:cs="Times New Roman"/>
          <w:color w:val="4472C4" w:themeColor="accent1"/>
          <w:sz w:val="24"/>
          <w:szCs w:val="24"/>
        </w:rPr>
        <w:t>.</w:t>
      </w:r>
      <w:r w:rsidR="00D35FC8">
        <w:rPr>
          <w:rStyle w:val="FootnoteReference"/>
          <w:rFonts w:ascii="Times New Roman" w:hAnsi="Times New Roman" w:cs="Times New Roman"/>
          <w:color w:val="4472C4" w:themeColor="accent1"/>
          <w:sz w:val="24"/>
          <w:szCs w:val="24"/>
        </w:rPr>
        <w:footnoteReference w:id="5"/>
      </w:r>
    </w:p>
    <w:p w14:paraId="07A9B689" w14:textId="77777777" w:rsidR="00DA15F6" w:rsidRPr="00C27188" w:rsidRDefault="00DA15F6" w:rsidP="00DA15F6">
      <w:pPr>
        <w:pStyle w:val="ListParagraph"/>
        <w:jc w:val="both"/>
        <w:rPr>
          <w:rFonts w:ascii="Times New Roman" w:hAnsi="Times New Roman" w:cs="Times New Roman"/>
          <w:sz w:val="24"/>
          <w:szCs w:val="24"/>
        </w:rPr>
      </w:pPr>
    </w:p>
    <w:p w14:paraId="486DC448" w14:textId="695271AD" w:rsidR="00D063EA" w:rsidRPr="00024CE7" w:rsidRDefault="00D063EA" w:rsidP="00D063EA">
      <w:pPr>
        <w:pStyle w:val="ListParagraph"/>
        <w:numPr>
          <w:ilvl w:val="0"/>
          <w:numId w:val="19"/>
        </w:numPr>
        <w:jc w:val="both"/>
        <w:rPr>
          <w:rFonts w:ascii="Times New Roman" w:hAnsi="Times New Roman" w:cs="Times New Roman"/>
          <w:b/>
          <w:bCs/>
          <w:sz w:val="24"/>
          <w:szCs w:val="24"/>
        </w:rPr>
      </w:pPr>
      <w:r w:rsidRPr="00024CE7">
        <w:rPr>
          <w:rFonts w:ascii="Times New Roman" w:hAnsi="Times New Roman" w:cs="Times New Roman"/>
          <w:b/>
          <w:bCs/>
          <w:sz w:val="24"/>
          <w:szCs w:val="24"/>
        </w:rPr>
        <w:t>How is the adjudication of international family law cases organised in your jurisdiction?</w:t>
      </w:r>
    </w:p>
    <w:p w14:paraId="1ADFE3E0" w14:textId="5824ADC8" w:rsidR="00803BE2" w:rsidRPr="00C544E3" w:rsidRDefault="00803BE2" w:rsidP="00803BE2">
      <w:pPr>
        <w:jc w:val="both"/>
        <w:rPr>
          <w:rFonts w:ascii="Times New Roman" w:hAnsi="Times New Roman" w:cs="Times New Roman"/>
          <w:sz w:val="24"/>
          <w:szCs w:val="24"/>
        </w:rPr>
      </w:pPr>
    </w:p>
    <w:p w14:paraId="122BB05E" w14:textId="6B144997" w:rsidR="00EC7006" w:rsidRPr="00024CE7" w:rsidRDefault="00EC7006" w:rsidP="00803BE2">
      <w:pPr>
        <w:jc w:val="both"/>
        <w:rPr>
          <w:rFonts w:ascii="Times New Roman" w:hAnsi="Times New Roman" w:cs="Times New Roman"/>
          <w:color w:val="4472C4" w:themeColor="accent1"/>
          <w:sz w:val="24"/>
          <w:szCs w:val="24"/>
        </w:rPr>
      </w:pPr>
      <w:r w:rsidRPr="00024CE7">
        <w:rPr>
          <w:rFonts w:ascii="Times New Roman" w:hAnsi="Times New Roman" w:cs="Times New Roman"/>
          <w:color w:val="4472C4" w:themeColor="accent1"/>
          <w:sz w:val="24"/>
          <w:szCs w:val="24"/>
        </w:rPr>
        <w:t xml:space="preserve">The court system of the Republic of Lithuania is made of courts of general jurisdiction and courts of special jurisdiction. The Supreme Court of Lithuania </w:t>
      </w:r>
      <w:r w:rsidRPr="00024CE7">
        <w:rPr>
          <w:rFonts w:ascii="Times New Roman" w:eastAsia="Times New Roman" w:hAnsi="Times New Roman" w:cs="Times New Roman"/>
          <w:color w:val="4472C4" w:themeColor="accent1"/>
          <w:sz w:val="24"/>
          <w:szCs w:val="24"/>
        </w:rPr>
        <w:t>(</w:t>
      </w:r>
      <w:r w:rsidRPr="00024CE7">
        <w:rPr>
          <w:rFonts w:ascii="Times New Roman" w:eastAsia="Times New Roman" w:hAnsi="Times New Roman" w:cs="Times New Roman"/>
          <w:i/>
          <w:color w:val="4472C4" w:themeColor="accent1"/>
          <w:sz w:val="24"/>
          <w:szCs w:val="24"/>
        </w:rPr>
        <w:t xml:space="preserve">Lietuvos </w:t>
      </w:r>
      <w:proofErr w:type="spellStart"/>
      <w:r w:rsidRPr="00024CE7">
        <w:rPr>
          <w:rFonts w:ascii="Times New Roman" w:eastAsia="Times New Roman" w:hAnsi="Times New Roman" w:cs="Times New Roman"/>
          <w:i/>
          <w:color w:val="4472C4" w:themeColor="accent1"/>
          <w:sz w:val="24"/>
          <w:szCs w:val="24"/>
        </w:rPr>
        <w:t>Aukščiausiasis</w:t>
      </w:r>
      <w:proofErr w:type="spellEnd"/>
      <w:r w:rsidRPr="00024CE7">
        <w:rPr>
          <w:rFonts w:ascii="Times New Roman" w:eastAsia="Times New Roman" w:hAnsi="Times New Roman" w:cs="Times New Roman"/>
          <w:i/>
          <w:color w:val="4472C4" w:themeColor="accent1"/>
          <w:sz w:val="24"/>
          <w:szCs w:val="24"/>
        </w:rPr>
        <w:t xml:space="preserve"> </w:t>
      </w:r>
      <w:proofErr w:type="spellStart"/>
      <w:r w:rsidRPr="00024CE7">
        <w:rPr>
          <w:rFonts w:ascii="Times New Roman" w:eastAsia="Times New Roman" w:hAnsi="Times New Roman" w:cs="Times New Roman"/>
          <w:i/>
          <w:color w:val="4472C4" w:themeColor="accent1"/>
          <w:sz w:val="24"/>
          <w:szCs w:val="24"/>
        </w:rPr>
        <w:t>Teismas</w:t>
      </w:r>
      <w:proofErr w:type="spellEnd"/>
      <w:r w:rsidRPr="00024CE7">
        <w:rPr>
          <w:rFonts w:ascii="Times New Roman" w:eastAsia="Times New Roman" w:hAnsi="Times New Roman" w:cs="Times New Roman"/>
          <w:color w:val="4472C4" w:themeColor="accent1"/>
          <w:sz w:val="24"/>
          <w:szCs w:val="24"/>
        </w:rPr>
        <w:t>)</w:t>
      </w:r>
      <w:r w:rsidRPr="00024CE7">
        <w:rPr>
          <w:rFonts w:ascii="Times New Roman" w:hAnsi="Times New Roman" w:cs="Times New Roman"/>
          <w:color w:val="4472C4" w:themeColor="accent1"/>
          <w:sz w:val="24"/>
          <w:szCs w:val="24"/>
        </w:rPr>
        <w:t xml:space="preserve">, the Court of Appeal of Lithuania </w:t>
      </w:r>
      <w:r w:rsidRPr="00024CE7">
        <w:rPr>
          <w:rFonts w:ascii="Times New Roman" w:eastAsia="Times New Roman" w:hAnsi="Times New Roman" w:cs="Times New Roman"/>
          <w:color w:val="4472C4" w:themeColor="accent1"/>
          <w:sz w:val="24"/>
          <w:szCs w:val="24"/>
        </w:rPr>
        <w:t>(</w:t>
      </w:r>
      <w:r w:rsidRPr="00024CE7">
        <w:rPr>
          <w:rFonts w:ascii="Times New Roman" w:eastAsia="Times New Roman" w:hAnsi="Times New Roman" w:cs="Times New Roman"/>
          <w:i/>
          <w:color w:val="4472C4" w:themeColor="accent1"/>
          <w:sz w:val="24"/>
          <w:szCs w:val="24"/>
        </w:rPr>
        <w:t xml:space="preserve">Lietuvos </w:t>
      </w:r>
      <w:proofErr w:type="spellStart"/>
      <w:r w:rsidRPr="00024CE7">
        <w:rPr>
          <w:rFonts w:ascii="Times New Roman" w:eastAsia="Times New Roman" w:hAnsi="Times New Roman" w:cs="Times New Roman"/>
          <w:i/>
          <w:color w:val="4472C4" w:themeColor="accent1"/>
          <w:sz w:val="24"/>
          <w:szCs w:val="24"/>
        </w:rPr>
        <w:t>apeliacinis</w:t>
      </w:r>
      <w:proofErr w:type="spellEnd"/>
      <w:r w:rsidRPr="00024CE7">
        <w:rPr>
          <w:rFonts w:ascii="Times New Roman" w:eastAsia="Times New Roman" w:hAnsi="Times New Roman" w:cs="Times New Roman"/>
          <w:i/>
          <w:color w:val="4472C4" w:themeColor="accent1"/>
          <w:sz w:val="24"/>
          <w:szCs w:val="24"/>
        </w:rPr>
        <w:t xml:space="preserve"> </w:t>
      </w:r>
      <w:proofErr w:type="spellStart"/>
      <w:r w:rsidRPr="00024CE7">
        <w:rPr>
          <w:rFonts w:ascii="Times New Roman" w:eastAsia="Times New Roman" w:hAnsi="Times New Roman" w:cs="Times New Roman"/>
          <w:i/>
          <w:color w:val="4472C4" w:themeColor="accent1"/>
          <w:sz w:val="24"/>
          <w:szCs w:val="24"/>
        </w:rPr>
        <w:t>teismas</w:t>
      </w:r>
      <w:proofErr w:type="spellEnd"/>
      <w:r w:rsidRPr="00024CE7">
        <w:rPr>
          <w:rFonts w:ascii="Times New Roman" w:eastAsia="Times New Roman" w:hAnsi="Times New Roman" w:cs="Times New Roman"/>
          <w:color w:val="4472C4" w:themeColor="accent1"/>
          <w:sz w:val="24"/>
          <w:szCs w:val="24"/>
        </w:rPr>
        <w:t>)</w:t>
      </w:r>
      <w:r w:rsidRPr="00024CE7">
        <w:rPr>
          <w:rFonts w:ascii="Times New Roman" w:hAnsi="Times New Roman" w:cs="Times New Roman"/>
          <w:color w:val="4472C4" w:themeColor="accent1"/>
          <w:sz w:val="24"/>
          <w:szCs w:val="24"/>
        </w:rPr>
        <w:t xml:space="preserve">, the regional courts </w:t>
      </w:r>
      <w:r w:rsidRPr="00024CE7">
        <w:rPr>
          <w:rFonts w:ascii="Times New Roman" w:eastAsia="Times New Roman" w:hAnsi="Times New Roman" w:cs="Times New Roman"/>
          <w:color w:val="4472C4" w:themeColor="accent1"/>
          <w:sz w:val="24"/>
          <w:szCs w:val="24"/>
        </w:rPr>
        <w:t>(</w:t>
      </w:r>
      <w:proofErr w:type="spellStart"/>
      <w:r w:rsidRPr="00024CE7">
        <w:rPr>
          <w:rFonts w:ascii="Times New Roman" w:eastAsia="Times New Roman" w:hAnsi="Times New Roman" w:cs="Times New Roman"/>
          <w:i/>
          <w:color w:val="4472C4" w:themeColor="accent1"/>
          <w:sz w:val="24"/>
          <w:szCs w:val="24"/>
        </w:rPr>
        <w:t>apygardų</w:t>
      </w:r>
      <w:proofErr w:type="spellEnd"/>
      <w:r w:rsidRPr="00024CE7">
        <w:rPr>
          <w:rFonts w:ascii="Times New Roman" w:eastAsia="Times New Roman" w:hAnsi="Times New Roman" w:cs="Times New Roman"/>
          <w:i/>
          <w:color w:val="4472C4" w:themeColor="accent1"/>
          <w:sz w:val="24"/>
          <w:szCs w:val="24"/>
        </w:rPr>
        <w:t xml:space="preserve"> </w:t>
      </w:r>
      <w:proofErr w:type="spellStart"/>
      <w:r w:rsidRPr="00024CE7">
        <w:rPr>
          <w:rFonts w:ascii="Times New Roman" w:eastAsia="Times New Roman" w:hAnsi="Times New Roman" w:cs="Times New Roman"/>
          <w:i/>
          <w:color w:val="4472C4" w:themeColor="accent1"/>
          <w:sz w:val="24"/>
          <w:szCs w:val="24"/>
        </w:rPr>
        <w:t>teismai</w:t>
      </w:r>
      <w:proofErr w:type="spellEnd"/>
      <w:r w:rsidRPr="00024CE7">
        <w:rPr>
          <w:rFonts w:ascii="Times New Roman" w:eastAsia="Times New Roman" w:hAnsi="Times New Roman" w:cs="Times New Roman"/>
          <w:color w:val="4472C4" w:themeColor="accent1"/>
          <w:sz w:val="24"/>
          <w:szCs w:val="24"/>
        </w:rPr>
        <w:t xml:space="preserve">) </w:t>
      </w:r>
      <w:r w:rsidRPr="00024CE7">
        <w:rPr>
          <w:rFonts w:ascii="Times New Roman" w:hAnsi="Times New Roman" w:cs="Times New Roman"/>
          <w:color w:val="4472C4" w:themeColor="accent1"/>
          <w:sz w:val="24"/>
          <w:szCs w:val="24"/>
        </w:rPr>
        <w:t>and the district courts (</w:t>
      </w:r>
      <w:proofErr w:type="spellStart"/>
      <w:r w:rsidRPr="00024CE7">
        <w:rPr>
          <w:rFonts w:ascii="Times New Roman" w:hAnsi="Times New Roman" w:cs="Times New Roman"/>
          <w:i/>
          <w:color w:val="4472C4" w:themeColor="accent1"/>
          <w:sz w:val="24"/>
          <w:szCs w:val="24"/>
        </w:rPr>
        <w:t>apylinkių</w:t>
      </w:r>
      <w:proofErr w:type="spellEnd"/>
      <w:r w:rsidRPr="00024CE7">
        <w:rPr>
          <w:rFonts w:ascii="Times New Roman" w:hAnsi="Times New Roman" w:cs="Times New Roman"/>
          <w:i/>
          <w:color w:val="4472C4" w:themeColor="accent1"/>
          <w:sz w:val="24"/>
          <w:szCs w:val="24"/>
        </w:rPr>
        <w:t xml:space="preserve"> </w:t>
      </w:r>
      <w:proofErr w:type="spellStart"/>
      <w:r w:rsidRPr="00024CE7">
        <w:rPr>
          <w:rFonts w:ascii="Times New Roman" w:hAnsi="Times New Roman" w:cs="Times New Roman"/>
          <w:i/>
          <w:color w:val="4472C4" w:themeColor="accent1"/>
          <w:sz w:val="24"/>
          <w:szCs w:val="24"/>
        </w:rPr>
        <w:t>teismai</w:t>
      </w:r>
      <w:proofErr w:type="spellEnd"/>
      <w:r w:rsidRPr="00024CE7">
        <w:rPr>
          <w:rFonts w:ascii="Times New Roman" w:hAnsi="Times New Roman" w:cs="Times New Roman"/>
          <w:color w:val="4472C4" w:themeColor="accent1"/>
          <w:sz w:val="24"/>
          <w:szCs w:val="24"/>
        </w:rPr>
        <w:t xml:space="preserve">) are courts of general jurisdiction dealing with civil and criminal cases. District courts also hear cases of administrative </w:t>
      </w:r>
      <w:r w:rsidR="003B7319">
        <w:rPr>
          <w:rFonts w:ascii="Times New Roman" w:hAnsi="Times New Roman" w:cs="Times New Roman"/>
          <w:color w:val="4472C4" w:themeColor="accent1"/>
          <w:sz w:val="24"/>
          <w:szCs w:val="24"/>
        </w:rPr>
        <w:t>offences</w:t>
      </w:r>
      <w:r w:rsidRPr="00024CE7">
        <w:rPr>
          <w:rFonts w:ascii="Times New Roman" w:hAnsi="Times New Roman" w:cs="Times New Roman"/>
          <w:color w:val="4472C4" w:themeColor="accent1"/>
          <w:sz w:val="24"/>
          <w:szCs w:val="24"/>
        </w:rPr>
        <w:t xml:space="preserve">. The regional courts, the Court of Appeal, </w:t>
      </w:r>
      <w:r w:rsidR="003B7319">
        <w:rPr>
          <w:rFonts w:ascii="Times New Roman" w:hAnsi="Times New Roman" w:cs="Times New Roman"/>
          <w:color w:val="4472C4" w:themeColor="accent1"/>
          <w:sz w:val="24"/>
          <w:szCs w:val="24"/>
        </w:rPr>
        <w:t xml:space="preserve">and </w:t>
      </w:r>
      <w:r w:rsidRPr="00024CE7">
        <w:rPr>
          <w:rFonts w:ascii="Times New Roman" w:hAnsi="Times New Roman" w:cs="Times New Roman"/>
          <w:color w:val="4472C4" w:themeColor="accent1"/>
          <w:sz w:val="24"/>
          <w:szCs w:val="24"/>
        </w:rPr>
        <w:t xml:space="preserve">the Supreme Court of Lithuania have the Civil </w:t>
      </w:r>
      <w:r w:rsidRPr="00024CE7">
        <w:rPr>
          <w:rFonts w:ascii="Times New Roman" w:hAnsi="Times New Roman" w:cs="Times New Roman"/>
          <w:color w:val="4472C4" w:themeColor="accent1"/>
          <w:sz w:val="24"/>
          <w:szCs w:val="24"/>
        </w:rPr>
        <w:lastRenderedPageBreak/>
        <w:t>Division and the Criminal Division. The Supreme Administrative Court of Lithuania (</w:t>
      </w:r>
      <w:r w:rsidRPr="00024CE7">
        <w:rPr>
          <w:rFonts w:ascii="Times New Roman" w:hAnsi="Times New Roman" w:cs="Times New Roman"/>
          <w:i/>
          <w:color w:val="4472C4" w:themeColor="accent1"/>
          <w:sz w:val="24"/>
          <w:szCs w:val="24"/>
        </w:rPr>
        <w:t xml:space="preserve">Lietuvos </w:t>
      </w:r>
      <w:proofErr w:type="spellStart"/>
      <w:r w:rsidRPr="00024CE7">
        <w:rPr>
          <w:rFonts w:ascii="Times New Roman" w:hAnsi="Times New Roman" w:cs="Times New Roman"/>
          <w:i/>
          <w:color w:val="4472C4" w:themeColor="accent1"/>
          <w:sz w:val="24"/>
          <w:szCs w:val="24"/>
        </w:rPr>
        <w:t>vyriausiasis</w:t>
      </w:r>
      <w:proofErr w:type="spellEnd"/>
      <w:r w:rsidRPr="00024CE7">
        <w:rPr>
          <w:rFonts w:ascii="Times New Roman" w:hAnsi="Times New Roman" w:cs="Times New Roman"/>
          <w:i/>
          <w:color w:val="4472C4" w:themeColor="accent1"/>
          <w:sz w:val="24"/>
          <w:szCs w:val="24"/>
        </w:rPr>
        <w:t xml:space="preserve"> </w:t>
      </w:r>
      <w:proofErr w:type="spellStart"/>
      <w:r w:rsidRPr="00024CE7">
        <w:rPr>
          <w:rFonts w:ascii="Times New Roman" w:hAnsi="Times New Roman" w:cs="Times New Roman"/>
          <w:i/>
          <w:color w:val="4472C4" w:themeColor="accent1"/>
          <w:sz w:val="24"/>
          <w:szCs w:val="24"/>
        </w:rPr>
        <w:t>administracinis</w:t>
      </w:r>
      <w:proofErr w:type="spellEnd"/>
      <w:r w:rsidRPr="00024CE7">
        <w:rPr>
          <w:rFonts w:ascii="Times New Roman" w:hAnsi="Times New Roman" w:cs="Times New Roman"/>
          <w:i/>
          <w:color w:val="4472C4" w:themeColor="accent1"/>
          <w:sz w:val="24"/>
          <w:szCs w:val="24"/>
        </w:rPr>
        <w:t xml:space="preserve"> </w:t>
      </w:r>
      <w:proofErr w:type="spellStart"/>
      <w:r w:rsidRPr="00024CE7">
        <w:rPr>
          <w:rFonts w:ascii="Times New Roman" w:hAnsi="Times New Roman" w:cs="Times New Roman"/>
          <w:i/>
          <w:color w:val="4472C4" w:themeColor="accent1"/>
          <w:sz w:val="24"/>
          <w:szCs w:val="24"/>
        </w:rPr>
        <w:t>teismas</w:t>
      </w:r>
      <w:proofErr w:type="spellEnd"/>
      <w:r w:rsidRPr="00024CE7">
        <w:rPr>
          <w:rFonts w:ascii="Times New Roman" w:hAnsi="Times New Roman" w:cs="Times New Roman"/>
          <w:color w:val="4472C4" w:themeColor="accent1"/>
          <w:sz w:val="24"/>
          <w:szCs w:val="24"/>
        </w:rPr>
        <w:t xml:space="preserve">) and </w:t>
      </w:r>
      <w:r w:rsidR="003B7319">
        <w:rPr>
          <w:rFonts w:ascii="Times New Roman" w:hAnsi="Times New Roman" w:cs="Times New Roman"/>
          <w:color w:val="4472C4" w:themeColor="accent1"/>
          <w:sz w:val="24"/>
          <w:szCs w:val="24"/>
        </w:rPr>
        <w:t>R</w:t>
      </w:r>
      <w:r w:rsidRPr="00024CE7">
        <w:rPr>
          <w:rFonts w:ascii="Times New Roman" w:hAnsi="Times New Roman" w:cs="Times New Roman"/>
          <w:color w:val="4472C4" w:themeColor="accent1"/>
          <w:sz w:val="24"/>
          <w:szCs w:val="24"/>
        </w:rPr>
        <w:t>egional administrative court (</w:t>
      </w:r>
      <w:proofErr w:type="spellStart"/>
      <w:r w:rsidRPr="00024CE7">
        <w:rPr>
          <w:rFonts w:ascii="Times New Roman" w:hAnsi="Times New Roman" w:cs="Times New Roman"/>
          <w:i/>
          <w:color w:val="4472C4" w:themeColor="accent1"/>
          <w:sz w:val="24"/>
          <w:szCs w:val="24"/>
        </w:rPr>
        <w:t>Regionų</w:t>
      </w:r>
      <w:proofErr w:type="spellEnd"/>
      <w:r w:rsidRPr="00024CE7">
        <w:rPr>
          <w:rFonts w:ascii="Times New Roman" w:hAnsi="Times New Roman" w:cs="Times New Roman"/>
          <w:i/>
          <w:color w:val="4472C4" w:themeColor="accent1"/>
          <w:sz w:val="24"/>
          <w:szCs w:val="24"/>
        </w:rPr>
        <w:t xml:space="preserve"> </w:t>
      </w:r>
      <w:proofErr w:type="spellStart"/>
      <w:r w:rsidRPr="00024CE7">
        <w:rPr>
          <w:rFonts w:ascii="Times New Roman" w:hAnsi="Times New Roman" w:cs="Times New Roman"/>
          <w:i/>
          <w:color w:val="4472C4" w:themeColor="accent1"/>
          <w:sz w:val="24"/>
          <w:szCs w:val="24"/>
        </w:rPr>
        <w:t>apygardos</w:t>
      </w:r>
      <w:proofErr w:type="spellEnd"/>
      <w:r w:rsidRPr="00024CE7">
        <w:rPr>
          <w:rFonts w:ascii="Times New Roman" w:hAnsi="Times New Roman" w:cs="Times New Roman"/>
          <w:i/>
          <w:color w:val="4472C4" w:themeColor="accent1"/>
          <w:sz w:val="24"/>
          <w:szCs w:val="24"/>
        </w:rPr>
        <w:t xml:space="preserve"> </w:t>
      </w:r>
      <w:proofErr w:type="spellStart"/>
      <w:r w:rsidRPr="00024CE7">
        <w:rPr>
          <w:rFonts w:ascii="Times New Roman" w:hAnsi="Times New Roman" w:cs="Times New Roman"/>
          <w:i/>
          <w:color w:val="4472C4" w:themeColor="accent1"/>
          <w:sz w:val="24"/>
          <w:szCs w:val="24"/>
        </w:rPr>
        <w:t>administracinis</w:t>
      </w:r>
      <w:proofErr w:type="spellEnd"/>
      <w:r w:rsidRPr="00024CE7">
        <w:rPr>
          <w:rFonts w:ascii="Times New Roman" w:hAnsi="Times New Roman" w:cs="Times New Roman"/>
          <w:i/>
          <w:color w:val="4472C4" w:themeColor="accent1"/>
          <w:sz w:val="24"/>
          <w:szCs w:val="24"/>
        </w:rPr>
        <w:t xml:space="preserve"> </w:t>
      </w:r>
      <w:proofErr w:type="spellStart"/>
      <w:r w:rsidRPr="00024CE7">
        <w:rPr>
          <w:rFonts w:ascii="Times New Roman" w:hAnsi="Times New Roman" w:cs="Times New Roman"/>
          <w:i/>
          <w:color w:val="4472C4" w:themeColor="accent1"/>
          <w:sz w:val="24"/>
          <w:szCs w:val="24"/>
        </w:rPr>
        <w:t>teismas</w:t>
      </w:r>
      <w:proofErr w:type="spellEnd"/>
      <w:r w:rsidRPr="00024CE7">
        <w:rPr>
          <w:rFonts w:ascii="Times New Roman" w:hAnsi="Times New Roman" w:cs="Times New Roman"/>
          <w:color w:val="4472C4" w:themeColor="accent1"/>
          <w:sz w:val="24"/>
          <w:szCs w:val="24"/>
        </w:rPr>
        <w:t>) are courts of special jurisdiction</w:t>
      </w:r>
      <w:r w:rsidR="003B7319">
        <w:rPr>
          <w:rFonts w:ascii="Times New Roman" w:hAnsi="Times New Roman" w:cs="Times New Roman"/>
          <w:color w:val="4472C4" w:themeColor="accent1"/>
          <w:sz w:val="24"/>
          <w:szCs w:val="24"/>
        </w:rPr>
        <w:t>,</w:t>
      </w:r>
      <w:r w:rsidRPr="00024CE7">
        <w:rPr>
          <w:rFonts w:ascii="Times New Roman" w:hAnsi="Times New Roman" w:cs="Times New Roman"/>
          <w:color w:val="4472C4" w:themeColor="accent1"/>
          <w:sz w:val="24"/>
          <w:szCs w:val="24"/>
        </w:rPr>
        <w:t xml:space="preserve"> and they do not deal with family cases.</w:t>
      </w:r>
      <w:r w:rsidRPr="00024CE7">
        <w:rPr>
          <w:rStyle w:val="FootnoteReference"/>
          <w:rFonts w:ascii="Times New Roman" w:hAnsi="Times New Roman" w:cs="Times New Roman"/>
          <w:color w:val="4472C4" w:themeColor="accent1"/>
          <w:sz w:val="24"/>
          <w:szCs w:val="24"/>
        </w:rPr>
        <w:footnoteReference w:id="6"/>
      </w:r>
      <w:r w:rsidRPr="00024CE7">
        <w:rPr>
          <w:rFonts w:ascii="Times New Roman" w:hAnsi="Times New Roman" w:cs="Times New Roman"/>
          <w:color w:val="4472C4" w:themeColor="accent1"/>
          <w:sz w:val="24"/>
          <w:szCs w:val="24"/>
        </w:rPr>
        <w:t xml:space="preserve"> There are no specialised family courts in Lithuania.</w:t>
      </w:r>
    </w:p>
    <w:p w14:paraId="0ABF8EF6" w14:textId="7B1616E7" w:rsidR="000B1442" w:rsidRDefault="00EC7006" w:rsidP="000B1442">
      <w:pPr>
        <w:jc w:val="both"/>
        <w:rPr>
          <w:rFonts w:ascii="Times New Roman" w:hAnsi="Times New Roman" w:cs="Times New Roman"/>
          <w:color w:val="4472C4" w:themeColor="accent1"/>
          <w:sz w:val="24"/>
          <w:szCs w:val="24"/>
        </w:rPr>
      </w:pPr>
      <w:r w:rsidRPr="00024CE7">
        <w:rPr>
          <w:rFonts w:ascii="Times New Roman" w:hAnsi="Times New Roman" w:cs="Times New Roman"/>
          <w:color w:val="4472C4" w:themeColor="accent1"/>
          <w:sz w:val="24"/>
          <w:szCs w:val="24"/>
        </w:rPr>
        <w:t xml:space="preserve">Family law cases </w:t>
      </w:r>
      <w:r w:rsidR="003B7319">
        <w:rPr>
          <w:rFonts w:ascii="Times New Roman" w:hAnsi="Times New Roman" w:cs="Times New Roman"/>
          <w:color w:val="4472C4" w:themeColor="accent1"/>
          <w:sz w:val="24"/>
          <w:szCs w:val="24"/>
        </w:rPr>
        <w:t>fall under the category of</w:t>
      </w:r>
      <w:r w:rsidRPr="00024CE7">
        <w:rPr>
          <w:rFonts w:ascii="Times New Roman" w:hAnsi="Times New Roman" w:cs="Times New Roman"/>
          <w:color w:val="4472C4" w:themeColor="accent1"/>
          <w:sz w:val="24"/>
          <w:szCs w:val="24"/>
        </w:rPr>
        <w:t xml:space="preserve"> civil cases and are dealt with by courts having jurisdiction in civil cases. Article 25 of the Lithuanian </w:t>
      </w:r>
      <w:r w:rsidRPr="00024CE7">
        <w:rPr>
          <w:rFonts w:ascii="Times New Roman" w:eastAsia="Times New Roman" w:hAnsi="Times New Roman" w:cs="Times New Roman"/>
          <w:color w:val="4472C4" w:themeColor="accent1"/>
          <w:sz w:val="24"/>
          <w:szCs w:val="24"/>
        </w:rPr>
        <w:t>Code of Civil Procedure</w:t>
      </w:r>
      <w:r w:rsidRPr="00024CE7">
        <w:rPr>
          <w:rStyle w:val="FootnoteReference"/>
          <w:rFonts w:ascii="Times New Roman" w:hAnsi="Times New Roman" w:cs="Times New Roman"/>
          <w:color w:val="4472C4" w:themeColor="accent1"/>
          <w:sz w:val="24"/>
          <w:szCs w:val="24"/>
        </w:rPr>
        <w:footnoteReference w:id="7"/>
      </w:r>
      <w:r w:rsidRPr="00024CE7">
        <w:rPr>
          <w:rFonts w:ascii="Times New Roman" w:hAnsi="Times New Roman" w:cs="Times New Roman"/>
          <w:color w:val="4472C4" w:themeColor="accent1"/>
          <w:sz w:val="24"/>
          <w:szCs w:val="24"/>
        </w:rPr>
        <w:t xml:space="preserve"> establishes that all civil cases in Lithuania are heard by district and regional courts as courts of first instance</w:t>
      </w:r>
      <w:r w:rsidRPr="000B1442">
        <w:rPr>
          <w:rFonts w:ascii="Times New Roman" w:hAnsi="Times New Roman" w:cs="Times New Roman"/>
          <w:color w:val="4472C4" w:themeColor="accent1"/>
          <w:sz w:val="24"/>
          <w:szCs w:val="24"/>
        </w:rPr>
        <w:t xml:space="preserve">. </w:t>
      </w:r>
      <w:r w:rsidR="000B1442">
        <w:rPr>
          <w:rFonts w:ascii="Times New Roman" w:hAnsi="Times New Roman" w:cs="Times New Roman"/>
          <w:color w:val="4472C4" w:themeColor="accent1"/>
          <w:sz w:val="24"/>
          <w:szCs w:val="24"/>
        </w:rPr>
        <w:t>However, i</w:t>
      </w:r>
      <w:r w:rsidR="008A5DAA" w:rsidRPr="000B1442">
        <w:rPr>
          <w:rFonts w:ascii="Times New Roman" w:hAnsi="Times New Roman" w:cs="Times New Roman"/>
          <w:color w:val="4472C4" w:themeColor="accent1"/>
          <w:sz w:val="24"/>
          <w:szCs w:val="24"/>
        </w:rPr>
        <w:t>n international child abduction cases</w:t>
      </w:r>
      <w:r w:rsidR="000B1442" w:rsidRPr="000B1442">
        <w:rPr>
          <w:rFonts w:ascii="Times New Roman" w:hAnsi="Times New Roman" w:cs="Times New Roman"/>
          <w:color w:val="4472C4" w:themeColor="accent1"/>
          <w:sz w:val="24"/>
          <w:szCs w:val="24"/>
        </w:rPr>
        <w:t>, jurisdiction lies with the Vilnius Regional Court, its ruling can be appealed to the Court of Appeal.</w:t>
      </w:r>
      <w:r w:rsidR="000B1442" w:rsidRPr="000B1442">
        <w:rPr>
          <w:rStyle w:val="FootnoteReference"/>
          <w:rFonts w:ascii="Times New Roman" w:hAnsi="Times New Roman" w:cs="Times New Roman"/>
          <w:color w:val="4472C4" w:themeColor="accent1"/>
          <w:sz w:val="24"/>
          <w:szCs w:val="24"/>
        </w:rPr>
        <w:footnoteReference w:id="8"/>
      </w:r>
    </w:p>
    <w:p w14:paraId="0BC46B25" w14:textId="77777777" w:rsidR="003B7319" w:rsidRPr="000B1442" w:rsidRDefault="003B7319" w:rsidP="000B1442">
      <w:pPr>
        <w:jc w:val="both"/>
        <w:rPr>
          <w:rFonts w:ascii="Times New Roman" w:hAnsi="Times New Roman" w:cs="Times New Roman"/>
          <w:color w:val="4472C4" w:themeColor="accent1"/>
          <w:sz w:val="24"/>
          <w:szCs w:val="24"/>
        </w:rPr>
      </w:pPr>
    </w:p>
    <w:p w14:paraId="4A785F18" w14:textId="6DEA2E82" w:rsidR="00F408AF" w:rsidRPr="00024CE7" w:rsidRDefault="00DE0A7A" w:rsidP="00024CE7">
      <w:pPr>
        <w:pStyle w:val="Heading2"/>
        <w:numPr>
          <w:ilvl w:val="0"/>
          <w:numId w:val="6"/>
        </w:numPr>
        <w:shd w:val="clear" w:color="auto" w:fill="D9E2F3" w:themeFill="accent1" w:themeFillTint="33"/>
        <w:jc w:val="both"/>
        <w:rPr>
          <w:rFonts w:ascii="Times New Roman" w:hAnsi="Times New Roman" w:cs="Times New Roman"/>
          <w:b/>
          <w:bCs/>
          <w:color w:val="auto"/>
          <w:sz w:val="24"/>
          <w:szCs w:val="24"/>
        </w:rPr>
      </w:pPr>
      <w:bookmarkStart w:id="1" w:name="_Toc122349471"/>
      <w:r w:rsidRPr="00024CE7">
        <w:rPr>
          <w:rFonts w:ascii="Times New Roman" w:hAnsi="Times New Roman" w:cs="Times New Roman"/>
          <w:b/>
          <w:bCs/>
          <w:color w:val="auto"/>
          <w:sz w:val="24"/>
          <w:szCs w:val="24"/>
        </w:rPr>
        <w:t xml:space="preserve">Hague </w:t>
      </w:r>
      <w:r w:rsidR="00F408AF" w:rsidRPr="00024CE7">
        <w:rPr>
          <w:rFonts w:ascii="Times New Roman" w:hAnsi="Times New Roman" w:cs="Times New Roman"/>
          <w:b/>
          <w:bCs/>
          <w:color w:val="auto"/>
          <w:sz w:val="24"/>
          <w:szCs w:val="24"/>
        </w:rPr>
        <w:t>Convention of 25 October 1980 on the Civil Aspects of International Child Abduction</w:t>
      </w:r>
      <w:bookmarkEnd w:id="1"/>
    </w:p>
    <w:p w14:paraId="31A12EE8" w14:textId="77777777" w:rsidR="00E215E8" w:rsidRPr="00C544E3" w:rsidRDefault="00E215E8" w:rsidP="008A76E4">
      <w:pPr>
        <w:jc w:val="both"/>
        <w:rPr>
          <w:rFonts w:ascii="Times New Roman" w:hAnsi="Times New Roman" w:cs="Times New Roman"/>
        </w:rPr>
      </w:pPr>
    </w:p>
    <w:p w14:paraId="3D53210A" w14:textId="1B3312E1" w:rsidR="002B1625" w:rsidRPr="00C544E3" w:rsidRDefault="00E215E8" w:rsidP="008A76E4">
      <w:pPr>
        <w:pStyle w:val="Heading2"/>
        <w:jc w:val="both"/>
      </w:pPr>
      <w:bookmarkStart w:id="2" w:name="_Toc122349472"/>
      <w:r w:rsidRPr="00C544E3">
        <w:t>Article 13</w:t>
      </w:r>
      <w:r w:rsidR="00DA5030" w:rsidRPr="00C544E3">
        <w:t>(1)(b)</w:t>
      </w:r>
      <w:bookmarkEnd w:id="2"/>
    </w:p>
    <w:p w14:paraId="116804CD" w14:textId="77777777" w:rsidR="00DA5030" w:rsidRPr="00C544E3" w:rsidRDefault="00DA5030" w:rsidP="008A76E4">
      <w:pPr>
        <w:jc w:val="both"/>
      </w:pPr>
    </w:p>
    <w:p w14:paraId="0C559EA4" w14:textId="12F93909" w:rsidR="00DE0A7A" w:rsidRPr="00024CE7" w:rsidRDefault="00DE0A7A" w:rsidP="008A76E4">
      <w:pPr>
        <w:pStyle w:val="ListParagraph"/>
        <w:numPr>
          <w:ilvl w:val="0"/>
          <w:numId w:val="8"/>
        </w:numPr>
        <w:jc w:val="both"/>
        <w:rPr>
          <w:rFonts w:ascii="Times New Roman" w:hAnsi="Times New Roman" w:cs="Times New Roman"/>
          <w:b/>
          <w:bCs/>
        </w:rPr>
      </w:pPr>
      <w:r w:rsidRPr="00024CE7">
        <w:rPr>
          <w:rFonts w:ascii="Times New Roman" w:hAnsi="Times New Roman" w:cs="Times New Roman"/>
          <w:b/>
          <w:bCs/>
        </w:rPr>
        <w:t>Are you aware of how often the “grave risk of harm” defence under Article 13(1)(b) is used successfully in your jurisdiction?</w:t>
      </w:r>
      <w:r w:rsidR="0023605C" w:rsidRPr="00024CE7">
        <w:rPr>
          <w:rFonts w:ascii="Times New Roman" w:hAnsi="Times New Roman" w:cs="Times New Roman"/>
          <w:b/>
          <w:bCs/>
        </w:rPr>
        <w:t xml:space="preserve"> If so, please comment on the frequency of successful defences under Article 13(1)(b) in your jurisdiction.</w:t>
      </w:r>
    </w:p>
    <w:p w14:paraId="0CF46390" w14:textId="77777777" w:rsidR="00374D81" w:rsidRDefault="00374D81" w:rsidP="008D2D4E">
      <w:pPr>
        <w:jc w:val="both"/>
        <w:rPr>
          <w:rFonts w:ascii="Times New Roman" w:hAnsi="Times New Roman" w:cs="Times New Roman"/>
          <w:color w:val="4472C4" w:themeColor="accent1"/>
        </w:rPr>
      </w:pPr>
    </w:p>
    <w:p w14:paraId="16E81B69" w14:textId="07C809E4" w:rsidR="00CE308A" w:rsidRPr="00C27188" w:rsidRDefault="00F26201" w:rsidP="008D2D4E">
      <w:pPr>
        <w:jc w:val="both"/>
        <w:rPr>
          <w:rFonts w:ascii="Times New Roman" w:hAnsi="Times New Roman" w:cs="Times New Roman"/>
          <w:color w:val="4472C4" w:themeColor="accent1"/>
          <w:sz w:val="24"/>
          <w:szCs w:val="24"/>
        </w:rPr>
      </w:pPr>
      <w:r w:rsidRPr="00C27188">
        <w:rPr>
          <w:rFonts w:ascii="Times New Roman" w:hAnsi="Times New Roman" w:cs="Times New Roman"/>
          <w:color w:val="4472C4" w:themeColor="accent1"/>
          <w:sz w:val="24"/>
          <w:szCs w:val="24"/>
        </w:rPr>
        <w:t xml:space="preserve">In international child abduction cases, jurisdiction lies with the Vilnius Regional Court acting as a court of the first instance. Its rulings can be appealed to the Court of Appeal. </w:t>
      </w:r>
    </w:p>
    <w:p w14:paraId="7CAA75B9" w14:textId="2F3050B6" w:rsidR="004F325F" w:rsidRDefault="00A72786" w:rsidP="008D2D4E">
      <w:pPr>
        <w:jc w:val="both"/>
        <w:rPr>
          <w:rFonts w:ascii="Times New Roman" w:hAnsi="Times New Roman" w:cs="Times New Roman"/>
          <w:color w:val="4472C4" w:themeColor="accent1"/>
          <w:sz w:val="24"/>
          <w:szCs w:val="24"/>
        </w:rPr>
      </w:pPr>
      <w:r w:rsidRPr="00C27188">
        <w:rPr>
          <w:rFonts w:ascii="Times New Roman" w:hAnsi="Times New Roman" w:cs="Times New Roman"/>
          <w:color w:val="4472C4" w:themeColor="accent1"/>
          <w:sz w:val="24"/>
          <w:szCs w:val="24"/>
        </w:rPr>
        <w:t>T</w:t>
      </w:r>
      <w:r w:rsidR="00D31D1D" w:rsidRPr="00C27188">
        <w:rPr>
          <w:rFonts w:ascii="Times New Roman" w:hAnsi="Times New Roman" w:cs="Times New Roman"/>
          <w:color w:val="4472C4" w:themeColor="accent1"/>
          <w:sz w:val="24"/>
          <w:szCs w:val="24"/>
        </w:rPr>
        <w:t>he search engine</w:t>
      </w:r>
      <w:r w:rsidR="009A0731" w:rsidRPr="00C27188">
        <w:rPr>
          <w:rFonts w:ascii="Times New Roman" w:hAnsi="Times New Roman" w:cs="Times New Roman"/>
          <w:color w:val="4472C4" w:themeColor="accent1"/>
          <w:sz w:val="24"/>
          <w:szCs w:val="24"/>
        </w:rPr>
        <w:t>s</w:t>
      </w:r>
      <w:r w:rsidR="00D31D1D" w:rsidRPr="00C27188">
        <w:rPr>
          <w:rFonts w:ascii="Times New Roman" w:hAnsi="Times New Roman" w:cs="Times New Roman"/>
          <w:color w:val="4472C4" w:themeColor="accent1"/>
          <w:sz w:val="24"/>
          <w:szCs w:val="24"/>
        </w:rPr>
        <w:t xml:space="preserve"> gave </w:t>
      </w:r>
      <w:r w:rsidR="00A058B4" w:rsidRPr="00C27188">
        <w:rPr>
          <w:rFonts w:ascii="Times New Roman" w:hAnsi="Times New Roman" w:cs="Times New Roman"/>
          <w:color w:val="4472C4" w:themeColor="accent1"/>
          <w:sz w:val="24"/>
          <w:szCs w:val="24"/>
        </w:rPr>
        <w:t>6</w:t>
      </w:r>
      <w:r w:rsidR="00D31D1D" w:rsidRPr="00C27188">
        <w:rPr>
          <w:rFonts w:ascii="Times New Roman" w:hAnsi="Times New Roman" w:cs="Times New Roman"/>
          <w:color w:val="4472C4" w:themeColor="accent1"/>
          <w:sz w:val="24"/>
          <w:szCs w:val="24"/>
        </w:rPr>
        <w:t xml:space="preserve"> </w:t>
      </w:r>
      <w:r w:rsidR="00093BC7">
        <w:rPr>
          <w:rFonts w:ascii="Times New Roman" w:hAnsi="Times New Roman" w:cs="Times New Roman"/>
          <w:color w:val="4472C4" w:themeColor="accent1"/>
          <w:sz w:val="24"/>
          <w:szCs w:val="24"/>
        </w:rPr>
        <w:t xml:space="preserve">relevant </w:t>
      </w:r>
      <w:r w:rsidR="00D31D1D" w:rsidRPr="00C27188">
        <w:rPr>
          <w:rFonts w:ascii="Times New Roman" w:hAnsi="Times New Roman" w:cs="Times New Roman"/>
          <w:color w:val="4472C4" w:themeColor="accent1"/>
          <w:sz w:val="24"/>
          <w:szCs w:val="24"/>
        </w:rPr>
        <w:t xml:space="preserve">court </w:t>
      </w:r>
      <w:r w:rsidR="00F26201" w:rsidRPr="00C27188">
        <w:rPr>
          <w:rFonts w:ascii="Times New Roman" w:hAnsi="Times New Roman" w:cs="Times New Roman"/>
          <w:color w:val="4472C4" w:themeColor="accent1"/>
          <w:sz w:val="24"/>
          <w:szCs w:val="24"/>
        </w:rPr>
        <w:t>rulings</w:t>
      </w:r>
      <w:r w:rsidR="00D31D1D" w:rsidRPr="00C27188">
        <w:rPr>
          <w:rFonts w:ascii="Times New Roman" w:hAnsi="Times New Roman" w:cs="Times New Roman"/>
          <w:color w:val="4472C4" w:themeColor="accent1"/>
          <w:sz w:val="24"/>
          <w:szCs w:val="24"/>
        </w:rPr>
        <w:t xml:space="preserve"> </w:t>
      </w:r>
      <w:r w:rsidR="00A058B4" w:rsidRPr="00C27188">
        <w:rPr>
          <w:rFonts w:ascii="Times New Roman" w:hAnsi="Times New Roman" w:cs="Times New Roman"/>
          <w:color w:val="4472C4" w:themeColor="accent1"/>
          <w:sz w:val="24"/>
          <w:szCs w:val="24"/>
        </w:rPr>
        <w:t>rendered in 2018-2022, where</w:t>
      </w:r>
      <w:r w:rsidR="00D31D1D" w:rsidRPr="00C27188">
        <w:rPr>
          <w:rFonts w:ascii="Times New Roman" w:hAnsi="Times New Roman" w:cs="Times New Roman"/>
          <w:color w:val="4472C4" w:themeColor="accent1"/>
          <w:sz w:val="24"/>
          <w:szCs w:val="24"/>
        </w:rPr>
        <w:t xml:space="preserve"> Article 13</w:t>
      </w:r>
      <w:r w:rsidR="00AF4633" w:rsidRPr="00C27188">
        <w:rPr>
          <w:rFonts w:ascii="Times New Roman" w:hAnsi="Times New Roman" w:cs="Times New Roman"/>
          <w:color w:val="4472C4" w:themeColor="accent1"/>
          <w:sz w:val="24"/>
          <w:szCs w:val="24"/>
        </w:rPr>
        <w:t>(1)(b)</w:t>
      </w:r>
      <w:r w:rsidR="00D31D1D" w:rsidRPr="00C27188">
        <w:rPr>
          <w:rFonts w:ascii="Times New Roman" w:hAnsi="Times New Roman" w:cs="Times New Roman"/>
          <w:color w:val="4472C4" w:themeColor="accent1"/>
          <w:sz w:val="24"/>
          <w:szCs w:val="24"/>
        </w:rPr>
        <w:t xml:space="preserve"> of the Hague </w:t>
      </w:r>
      <w:r w:rsidR="004E2EEB" w:rsidRPr="00C27188">
        <w:rPr>
          <w:rFonts w:ascii="Times New Roman" w:hAnsi="Times New Roman" w:cs="Times New Roman"/>
          <w:color w:val="4472C4" w:themeColor="accent1"/>
          <w:sz w:val="24"/>
          <w:szCs w:val="24"/>
        </w:rPr>
        <w:t>C</w:t>
      </w:r>
      <w:r w:rsidR="00D31D1D" w:rsidRPr="00C27188">
        <w:rPr>
          <w:rFonts w:ascii="Times New Roman" w:hAnsi="Times New Roman" w:cs="Times New Roman"/>
          <w:color w:val="4472C4" w:themeColor="accent1"/>
          <w:sz w:val="24"/>
          <w:szCs w:val="24"/>
        </w:rPr>
        <w:t xml:space="preserve">onvention </w:t>
      </w:r>
      <w:r w:rsidR="00A058B4" w:rsidRPr="00C27188">
        <w:rPr>
          <w:rFonts w:ascii="Times New Roman" w:hAnsi="Times New Roman" w:cs="Times New Roman"/>
          <w:color w:val="4472C4" w:themeColor="accent1"/>
          <w:sz w:val="24"/>
          <w:szCs w:val="24"/>
        </w:rPr>
        <w:t>was cited as a defence</w:t>
      </w:r>
      <w:r w:rsidR="00F26201" w:rsidRPr="00C27188">
        <w:rPr>
          <w:rFonts w:ascii="Times New Roman" w:hAnsi="Times New Roman" w:cs="Times New Roman"/>
          <w:color w:val="4472C4" w:themeColor="accent1"/>
          <w:sz w:val="24"/>
          <w:szCs w:val="24"/>
        </w:rPr>
        <w:t xml:space="preserve"> in the cases on the return of the child</w:t>
      </w:r>
      <w:r w:rsidRPr="00C27188">
        <w:rPr>
          <w:rFonts w:ascii="Times New Roman" w:hAnsi="Times New Roman" w:cs="Times New Roman"/>
          <w:color w:val="4472C4" w:themeColor="accent1"/>
          <w:sz w:val="24"/>
          <w:szCs w:val="24"/>
        </w:rPr>
        <w:t>.</w:t>
      </w:r>
      <w:r w:rsidR="00C86BC1" w:rsidRPr="00C27188">
        <w:rPr>
          <w:rFonts w:ascii="Times New Roman" w:hAnsi="Times New Roman" w:cs="Times New Roman"/>
          <w:color w:val="4472C4" w:themeColor="accent1"/>
          <w:sz w:val="24"/>
          <w:szCs w:val="24"/>
        </w:rPr>
        <w:t xml:space="preserve"> From those rulings,</w:t>
      </w:r>
      <w:r w:rsidR="00A058B4" w:rsidRPr="00C27188">
        <w:rPr>
          <w:rFonts w:ascii="Times New Roman" w:hAnsi="Times New Roman" w:cs="Times New Roman"/>
          <w:color w:val="4472C4" w:themeColor="accent1"/>
          <w:sz w:val="24"/>
          <w:szCs w:val="24"/>
        </w:rPr>
        <w:t xml:space="preserve"> 5 of the decisions were issued in 2022 and one in 2019. </w:t>
      </w:r>
      <w:r w:rsidR="004F325F">
        <w:rPr>
          <w:rFonts w:ascii="Times New Roman" w:hAnsi="Times New Roman" w:cs="Times New Roman"/>
          <w:color w:val="4472C4" w:themeColor="accent1"/>
          <w:sz w:val="24"/>
          <w:szCs w:val="24"/>
        </w:rPr>
        <w:t xml:space="preserve">It should be noted that this is just a </w:t>
      </w:r>
      <w:r w:rsidR="00093BC7">
        <w:rPr>
          <w:rFonts w:ascii="Times New Roman" w:hAnsi="Times New Roman" w:cs="Times New Roman"/>
          <w:color w:val="4472C4" w:themeColor="accent1"/>
          <w:sz w:val="24"/>
          <w:szCs w:val="24"/>
        </w:rPr>
        <w:t>part</w:t>
      </w:r>
      <w:r w:rsidR="004F325F">
        <w:rPr>
          <w:rFonts w:ascii="Times New Roman" w:hAnsi="Times New Roman" w:cs="Times New Roman"/>
          <w:color w:val="4472C4" w:themeColor="accent1"/>
          <w:sz w:val="24"/>
          <w:szCs w:val="24"/>
        </w:rPr>
        <w:t xml:space="preserve"> of all abduction cases as </w:t>
      </w:r>
      <w:r w:rsidR="004F325F" w:rsidRPr="00C27188">
        <w:rPr>
          <w:rFonts w:ascii="Times New Roman" w:hAnsi="Times New Roman" w:cs="Times New Roman"/>
          <w:color w:val="4472C4" w:themeColor="accent1"/>
          <w:sz w:val="24"/>
          <w:szCs w:val="24"/>
        </w:rPr>
        <w:t xml:space="preserve">some </w:t>
      </w:r>
      <w:r w:rsidR="0052207F">
        <w:rPr>
          <w:rFonts w:ascii="Times New Roman" w:hAnsi="Times New Roman" w:cs="Times New Roman"/>
          <w:color w:val="4472C4" w:themeColor="accent1"/>
          <w:sz w:val="24"/>
          <w:szCs w:val="24"/>
        </w:rPr>
        <w:t>court</w:t>
      </w:r>
      <w:r w:rsidR="004F325F" w:rsidRPr="00C27188">
        <w:rPr>
          <w:rFonts w:ascii="Times New Roman" w:hAnsi="Times New Roman" w:cs="Times New Roman"/>
          <w:color w:val="4472C4" w:themeColor="accent1"/>
          <w:sz w:val="24"/>
          <w:szCs w:val="24"/>
        </w:rPr>
        <w:t xml:space="preserve"> decisions </w:t>
      </w:r>
      <w:r w:rsidR="004F325F">
        <w:rPr>
          <w:rFonts w:ascii="Times New Roman" w:hAnsi="Times New Roman" w:cs="Times New Roman"/>
          <w:color w:val="4472C4" w:themeColor="accent1"/>
          <w:sz w:val="24"/>
          <w:szCs w:val="24"/>
        </w:rPr>
        <w:t>are not</w:t>
      </w:r>
      <w:r w:rsidR="004F325F" w:rsidRPr="00C27188">
        <w:rPr>
          <w:rFonts w:ascii="Times New Roman" w:hAnsi="Times New Roman" w:cs="Times New Roman"/>
          <w:color w:val="4472C4" w:themeColor="accent1"/>
          <w:sz w:val="24"/>
          <w:szCs w:val="24"/>
        </w:rPr>
        <w:t xml:space="preserve"> made public due to the non-public nature of the case</w:t>
      </w:r>
      <w:r w:rsidR="004E331B">
        <w:rPr>
          <w:rFonts w:ascii="Times New Roman" w:hAnsi="Times New Roman" w:cs="Times New Roman"/>
          <w:color w:val="4472C4" w:themeColor="accent1"/>
          <w:sz w:val="24"/>
          <w:szCs w:val="24"/>
        </w:rPr>
        <w:t xml:space="preserve"> (earlier, before GDPR came into force, there were more decisions accessible with more information in them; currently, many decisions are not published and a lot of information is deleted from them)</w:t>
      </w:r>
      <w:r w:rsidR="004F325F" w:rsidRPr="00C27188">
        <w:rPr>
          <w:rFonts w:ascii="Times New Roman" w:hAnsi="Times New Roman" w:cs="Times New Roman"/>
          <w:color w:val="4472C4" w:themeColor="accent1"/>
          <w:sz w:val="24"/>
          <w:szCs w:val="24"/>
        </w:rPr>
        <w:t>.</w:t>
      </w:r>
    </w:p>
    <w:p w14:paraId="6280324F" w14:textId="15CBA53C" w:rsidR="00C86BC1" w:rsidRPr="004F325F" w:rsidRDefault="00C86BC1" w:rsidP="00C86BC1">
      <w:pPr>
        <w:jc w:val="both"/>
        <w:rPr>
          <w:rFonts w:ascii="Times New Roman" w:hAnsi="Times New Roman" w:cs="Times New Roman"/>
          <w:color w:val="4472C4" w:themeColor="accent1"/>
          <w:sz w:val="24"/>
          <w:szCs w:val="24"/>
        </w:rPr>
      </w:pPr>
      <w:r w:rsidRPr="00C27188">
        <w:rPr>
          <w:rFonts w:ascii="Times New Roman" w:hAnsi="Times New Roman" w:cs="Times New Roman"/>
          <w:color w:val="4472C4" w:themeColor="accent1"/>
          <w:sz w:val="24"/>
          <w:szCs w:val="24"/>
        </w:rPr>
        <w:t>I have also contacted the Court of Appeal to verify th</w:t>
      </w:r>
      <w:r w:rsidR="004F325F">
        <w:rPr>
          <w:rFonts w:ascii="Times New Roman" w:hAnsi="Times New Roman" w:cs="Times New Roman"/>
          <w:color w:val="4472C4" w:themeColor="accent1"/>
          <w:sz w:val="24"/>
          <w:szCs w:val="24"/>
        </w:rPr>
        <w:t>is</w:t>
      </w:r>
      <w:r w:rsidRPr="00C27188">
        <w:rPr>
          <w:rFonts w:ascii="Times New Roman" w:hAnsi="Times New Roman" w:cs="Times New Roman"/>
          <w:color w:val="4472C4" w:themeColor="accent1"/>
          <w:sz w:val="24"/>
          <w:szCs w:val="24"/>
        </w:rPr>
        <w:t xml:space="preserve"> information. The Court of Appeal has presented me with a list of </w:t>
      </w:r>
      <w:r w:rsidRPr="00C27188">
        <w:rPr>
          <w:rFonts w:ascii="Times New Roman" w:hAnsi="Times New Roman" w:cs="Times New Roman"/>
          <w:color w:val="4472C4" w:themeColor="accent1"/>
          <w:sz w:val="24"/>
          <w:szCs w:val="24"/>
          <w:lang w:val="en-US"/>
        </w:rPr>
        <w:t>37</w:t>
      </w:r>
      <w:r w:rsidRPr="00C27188">
        <w:rPr>
          <w:rFonts w:ascii="Times New Roman" w:hAnsi="Times New Roman" w:cs="Times New Roman"/>
          <w:color w:val="4472C4" w:themeColor="accent1"/>
          <w:sz w:val="24"/>
          <w:szCs w:val="24"/>
        </w:rPr>
        <w:t xml:space="preserve"> decisions in child abduction cases (giving me numbers of the cases) that the Court of Appeal adopted in 2018-2022. Most of the cases, however, were not public and I could not find them using a public search engine. </w:t>
      </w:r>
      <w:r w:rsidR="00AF4633" w:rsidRPr="00C27188">
        <w:rPr>
          <w:rFonts w:ascii="Times New Roman" w:hAnsi="Times New Roman" w:cs="Times New Roman"/>
          <w:color w:val="4472C4" w:themeColor="accent1"/>
          <w:sz w:val="24"/>
          <w:szCs w:val="24"/>
        </w:rPr>
        <w:t>Nevertheless</w:t>
      </w:r>
      <w:r w:rsidRPr="00C27188">
        <w:rPr>
          <w:rFonts w:ascii="Times New Roman" w:hAnsi="Times New Roman" w:cs="Times New Roman"/>
          <w:color w:val="4472C4" w:themeColor="accent1"/>
          <w:sz w:val="24"/>
          <w:szCs w:val="24"/>
        </w:rPr>
        <w:t xml:space="preserve">, if we look at the </w:t>
      </w:r>
      <w:r w:rsidR="0052207F">
        <w:rPr>
          <w:rFonts w:ascii="Times New Roman" w:hAnsi="Times New Roman" w:cs="Times New Roman"/>
          <w:color w:val="4472C4" w:themeColor="accent1"/>
          <w:sz w:val="24"/>
          <w:szCs w:val="24"/>
        </w:rPr>
        <w:t xml:space="preserve">publicly available cases of the </w:t>
      </w:r>
      <w:r w:rsidRPr="00C27188">
        <w:rPr>
          <w:rFonts w:ascii="Times New Roman" w:hAnsi="Times New Roman" w:cs="Times New Roman"/>
          <w:color w:val="4472C4" w:themeColor="accent1"/>
          <w:sz w:val="24"/>
          <w:szCs w:val="24"/>
        </w:rPr>
        <w:t xml:space="preserve">year 2022 only, </w:t>
      </w:r>
      <w:r w:rsidR="00AF4633" w:rsidRPr="00C27188">
        <w:rPr>
          <w:rFonts w:ascii="Times New Roman" w:hAnsi="Times New Roman" w:cs="Times New Roman"/>
          <w:color w:val="4472C4" w:themeColor="accent1"/>
          <w:sz w:val="24"/>
          <w:szCs w:val="24"/>
        </w:rPr>
        <w:t xml:space="preserve">“grave risk of harm” defence </w:t>
      </w:r>
      <w:r w:rsidRPr="00C27188">
        <w:rPr>
          <w:rFonts w:ascii="Times New Roman" w:hAnsi="Times New Roman" w:cs="Times New Roman"/>
          <w:color w:val="4472C4" w:themeColor="accent1"/>
          <w:sz w:val="24"/>
          <w:szCs w:val="24"/>
        </w:rPr>
        <w:t xml:space="preserve">was referred at least in 5 out of 12 </w:t>
      </w:r>
      <w:r w:rsidR="00093BC7">
        <w:rPr>
          <w:rFonts w:ascii="Times New Roman" w:hAnsi="Times New Roman" w:cs="Times New Roman"/>
          <w:color w:val="4472C4" w:themeColor="accent1"/>
          <w:sz w:val="24"/>
          <w:szCs w:val="24"/>
        </w:rPr>
        <w:t xml:space="preserve">child abduction </w:t>
      </w:r>
      <w:r w:rsidRPr="00C27188">
        <w:rPr>
          <w:rFonts w:ascii="Times New Roman" w:hAnsi="Times New Roman" w:cs="Times New Roman"/>
          <w:color w:val="4472C4" w:themeColor="accent1"/>
          <w:sz w:val="24"/>
          <w:szCs w:val="24"/>
        </w:rPr>
        <w:t>cases.</w:t>
      </w:r>
      <w:r w:rsidR="00AF4633" w:rsidRPr="00C27188">
        <w:rPr>
          <w:rFonts w:ascii="Times New Roman" w:hAnsi="Times New Roman" w:cs="Times New Roman"/>
          <w:color w:val="4472C4" w:themeColor="accent1"/>
          <w:sz w:val="24"/>
          <w:szCs w:val="24"/>
        </w:rPr>
        <w:t xml:space="preserve"> </w:t>
      </w:r>
    </w:p>
    <w:p w14:paraId="22F44750" w14:textId="39D795E8" w:rsidR="0015340E" w:rsidRDefault="00C86BC1" w:rsidP="008D2D4E">
      <w:pPr>
        <w:jc w:val="both"/>
        <w:rPr>
          <w:rFonts w:ascii="Times New Roman" w:hAnsi="Times New Roman" w:cs="Times New Roman"/>
          <w:color w:val="4472C4" w:themeColor="accent1"/>
          <w:sz w:val="24"/>
          <w:szCs w:val="24"/>
        </w:rPr>
      </w:pPr>
      <w:r w:rsidRPr="00C27188">
        <w:rPr>
          <w:rFonts w:ascii="Times New Roman" w:hAnsi="Times New Roman" w:cs="Times New Roman"/>
          <w:color w:val="4472C4" w:themeColor="accent1"/>
          <w:sz w:val="24"/>
          <w:szCs w:val="24"/>
        </w:rPr>
        <w:lastRenderedPageBreak/>
        <w:t>The table below provides information on the cases where Article 13(</w:t>
      </w:r>
      <w:r w:rsidRPr="00C27188">
        <w:rPr>
          <w:rFonts w:ascii="Times New Roman" w:hAnsi="Times New Roman" w:cs="Times New Roman"/>
          <w:color w:val="4472C4" w:themeColor="accent1"/>
          <w:sz w:val="24"/>
          <w:szCs w:val="24"/>
          <w:lang w:val="en-US"/>
        </w:rPr>
        <w:t>(1(b)</w:t>
      </w:r>
      <w:r w:rsidRPr="00C27188">
        <w:rPr>
          <w:rFonts w:ascii="Times New Roman" w:hAnsi="Times New Roman" w:cs="Times New Roman"/>
          <w:color w:val="4472C4" w:themeColor="accent1"/>
          <w:sz w:val="24"/>
          <w:szCs w:val="24"/>
        </w:rPr>
        <w:t xml:space="preserve"> of the Hague Convention defence was used</w:t>
      </w:r>
      <w:r w:rsidR="00093BC7">
        <w:rPr>
          <w:rFonts w:ascii="Times New Roman" w:hAnsi="Times New Roman" w:cs="Times New Roman"/>
          <w:color w:val="4472C4" w:themeColor="accent1"/>
          <w:sz w:val="24"/>
          <w:szCs w:val="24"/>
        </w:rPr>
        <w:t>,</w:t>
      </w:r>
      <w:r w:rsidRPr="00C27188">
        <w:rPr>
          <w:rFonts w:ascii="Times New Roman" w:hAnsi="Times New Roman" w:cs="Times New Roman"/>
          <w:color w:val="4472C4" w:themeColor="accent1"/>
          <w:sz w:val="24"/>
          <w:szCs w:val="24"/>
        </w:rPr>
        <w:t xml:space="preserve"> noting whether </w:t>
      </w:r>
      <w:r w:rsidR="0052207F">
        <w:rPr>
          <w:rFonts w:ascii="Times New Roman" w:hAnsi="Times New Roman" w:cs="Times New Roman"/>
          <w:color w:val="4472C4" w:themeColor="accent1"/>
          <w:sz w:val="24"/>
          <w:szCs w:val="24"/>
        </w:rPr>
        <w:t>this defence</w:t>
      </w:r>
      <w:r w:rsidRPr="00C27188">
        <w:rPr>
          <w:rFonts w:ascii="Times New Roman" w:hAnsi="Times New Roman" w:cs="Times New Roman"/>
          <w:color w:val="4472C4" w:themeColor="accent1"/>
          <w:sz w:val="24"/>
          <w:szCs w:val="24"/>
        </w:rPr>
        <w:t xml:space="preserve"> was successful. Some of those cases are cited in the Report below.</w:t>
      </w:r>
    </w:p>
    <w:p w14:paraId="3B03FBE8" w14:textId="77777777" w:rsidR="00D35FC8" w:rsidRPr="00C27188" w:rsidRDefault="00D35FC8" w:rsidP="008D2D4E">
      <w:pPr>
        <w:jc w:val="both"/>
        <w:rPr>
          <w:rFonts w:ascii="Times New Roman" w:hAnsi="Times New Roman" w:cs="Times New Roman"/>
          <w:color w:val="4472C4" w:themeColor="accent1"/>
          <w:sz w:val="24"/>
          <w:szCs w:val="24"/>
        </w:rPr>
      </w:pPr>
    </w:p>
    <w:tbl>
      <w:tblPr>
        <w:tblStyle w:val="TableGrid"/>
        <w:tblW w:w="9204" w:type="dxa"/>
        <w:tblLook w:val="04A0" w:firstRow="1" w:lastRow="0" w:firstColumn="1" w:lastColumn="0" w:noHBand="0" w:noVBand="1"/>
      </w:tblPr>
      <w:tblGrid>
        <w:gridCol w:w="486"/>
        <w:gridCol w:w="903"/>
        <w:gridCol w:w="3724"/>
        <w:gridCol w:w="1011"/>
        <w:gridCol w:w="3080"/>
      </w:tblGrid>
      <w:tr w:rsidR="002D57EF" w:rsidRPr="00C27188" w14:paraId="01D4433B" w14:textId="77777777" w:rsidTr="004E331B">
        <w:tc>
          <w:tcPr>
            <w:tcW w:w="485" w:type="dxa"/>
            <w:shd w:val="clear" w:color="auto" w:fill="E7E6E6" w:themeFill="background2"/>
          </w:tcPr>
          <w:p w14:paraId="15748ECB" w14:textId="77777777" w:rsidR="0015340E" w:rsidRPr="00C27188" w:rsidRDefault="0015340E" w:rsidP="0015340E">
            <w:pPr>
              <w:rPr>
                <w:rFonts w:ascii="Times New Roman" w:hAnsi="Times New Roman" w:cs="Times New Roman"/>
                <w:b/>
                <w:bCs/>
                <w:color w:val="4472C4" w:themeColor="accent1"/>
              </w:rPr>
            </w:pPr>
            <w:r w:rsidRPr="00C27188">
              <w:rPr>
                <w:rFonts w:ascii="Times New Roman" w:hAnsi="Times New Roman" w:cs="Times New Roman"/>
                <w:b/>
                <w:bCs/>
                <w:color w:val="4472C4" w:themeColor="accent1"/>
              </w:rPr>
              <w:t>No</w:t>
            </w:r>
          </w:p>
        </w:tc>
        <w:tc>
          <w:tcPr>
            <w:tcW w:w="927" w:type="dxa"/>
            <w:shd w:val="clear" w:color="auto" w:fill="E7E6E6" w:themeFill="background2"/>
          </w:tcPr>
          <w:p w14:paraId="3396C316" w14:textId="77777777" w:rsidR="0015340E" w:rsidRPr="00C27188" w:rsidRDefault="0015340E" w:rsidP="0015340E">
            <w:pPr>
              <w:rPr>
                <w:rFonts w:ascii="Times New Roman" w:hAnsi="Times New Roman" w:cs="Times New Roman"/>
                <w:b/>
                <w:bCs/>
                <w:color w:val="4472C4" w:themeColor="accent1"/>
              </w:rPr>
            </w:pPr>
            <w:r w:rsidRPr="00C27188">
              <w:rPr>
                <w:rFonts w:ascii="Times New Roman" w:hAnsi="Times New Roman" w:cs="Times New Roman"/>
                <w:b/>
                <w:bCs/>
                <w:color w:val="4472C4" w:themeColor="accent1"/>
              </w:rPr>
              <w:t>Date</w:t>
            </w:r>
          </w:p>
        </w:tc>
        <w:tc>
          <w:tcPr>
            <w:tcW w:w="3970" w:type="dxa"/>
            <w:shd w:val="clear" w:color="auto" w:fill="E7E6E6" w:themeFill="background2"/>
          </w:tcPr>
          <w:p w14:paraId="39C6E574" w14:textId="77777777" w:rsidR="0015340E" w:rsidRPr="00C27188" w:rsidRDefault="0015340E" w:rsidP="0015340E">
            <w:pPr>
              <w:rPr>
                <w:rFonts w:ascii="Times New Roman" w:hAnsi="Times New Roman" w:cs="Times New Roman"/>
                <w:b/>
                <w:bCs/>
                <w:color w:val="4472C4" w:themeColor="accent1"/>
              </w:rPr>
            </w:pPr>
            <w:r w:rsidRPr="00C27188">
              <w:rPr>
                <w:rFonts w:ascii="Times New Roman" w:hAnsi="Times New Roman" w:cs="Times New Roman"/>
                <w:b/>
                <w:bCs/>
                <w:color w:val="4472C4" w:themeColor="accent1"/>
              </w:rPr>
              <w:t>Case</w:t>
            </w:r>
          </w:p>
        </w:tc>
        <w:tc>
          <w:tcPr>
            <w:tcW w:w="567" w:type="dxa"/>
            <w:shd w:val="clear" w:color="auto" w:fill="E7E6E6" w:themeFill="background2"/>
          </w:tcPr>
          <w:p w14:paraId="4561D783" w14:textId="75D72434" w:rsidR="0015340E" w:rsidRPr="00C27188" w:rsidRDefault="0015340E" w:rsidP="0015340E">
            <w:pPr>
              <w:rPr>
                <w:rFonts w:ascii="Times New Roman" w:hAnsi="Times New Roman" w:cs="Times New Roman"/>
                <w:b/>
                <w:bCs/>
                <w:color w:val="4472C4" w:themeColor="accent1"/>
              </w:rPr>
            </w:pPr>
            <w:r w:rsidRPr="00C27188">
              <w:rPr>
                <w:rFonts w:ascii="Times New Roman" w:hAnsi="Times New Roman" w:cs="Times New Roman"/>
                <w:b/>
                <w:bCs/>
                <w:color w:val="4472C4" w:themeColor="accent1"/>
              </w:rPr>
              <w:t>Country</w:t>
            </w:r>
          </w:p>
        </w:tc>
        <w:tc>
          <w:tcPr>
            <w:tcW w:w="3255" w:type="dxa"/>
            <w:shd w:val="clear" w:color="auto" w:fill="E7E6E6" w:themeFill="background2"/>
          </w:tcPr>
          <w:p w14:paraId="1E5D7167" w14:textId="218BDAE3" w:rsidR="0015340E" w:rsidRPr="00C27188" w:rsidRDefault="0015340E" w:rsidP="0015340E">
            <w:pPr>
              <w:rPr>
                <w:rFonts w:ascii="Times New Roman" w:hAnsi="Times New Roman" w:cs="Times New Roman"/>
                <w:b/>
                <w:bCs/>
                <w:color w:val="4472C4" w:themeColor="accent1"/>
              </w:rPr>
            </w:pPr>
            <w:r w:rsidRPr="00C27188">
              <w:rPr>
                <w:rFonts w:ascii="Times New Roman" w:hAnsi="Times New Roman" w:cs="Times New Roman"/>
                <w:b/>
                <w:bCs/>
                <w:color w:val="4472C4" w:themeColor="accent1"/>
              </w:rPr>
              <w:t>Art 13(1)b defence successful?</w:t>
            </w:r>
          </w:p>
        </w:tc>
      </w:tr>
      <w:tr w:rsidR="002D57EF" w:rsidRPr="00C27188" w14:paraId="2C7D1999" w14:textId="77777777" w:rsidTr="004E331B">
        <w:tc>
          <w:tcPr>
            <w:tcW w:w="485" w:type="dxa"/>
          </w:tcPr>
          <w:p w14:paraId="2B354E47" w14:textId="06296393" w:rsidR="00E80601" w:rsidRPr="00C27188" w:rsidRDefault="00A058B4" w:rsidP="000A16F6">
            <w:pPr>
              <w:rPr>
                <w:rFonts w:ascii="Times New Roman" w:hAnsi="Times New Roman" w:cs="Times New Roman"/>
                <w:color w:val="4472C4" w:themeColor="accent1"/>
              </w:rPr>
            </w:pPr>
            <w:r w:rsidRPr="00C27188">
              <w:rPr>
                <w:rFonts w:ascii="Times New Roman" w:hAnsi="Times New Roman" w:cs="Times New Roman"/>
                <w:color w:val="4472C4" w:themeColor="accent1"/>
              </w:rPr>
              <w:t>1</w:t>
            </w:r>
          </w:p>
        </w:tc>
        <w:tc>
          <w:tcPr>
            <w:tcW w:w="927" w:type="dxa"/>
          </w:tcPr>
          <w:p w14:paraId="3708B2AA" w14:textId="542D8C96" w:rsidR="00E80601" w:rsidRPr="00C27188" w:rsidRDefault="00A72786" w:rsidP="000A16F6">
            <w:pPr>
              <w:rPr>
                <w:rFonts w:ascii="Times New Roman" w:hAnsi="Times New Roman" w:cs="Times New Roman"/>
                <w:color w:val="4472C4" w:themeColor="accent1"/>
              </w:rPr>
            </w:pPr>
            <w:r w:rsidRPr="00C27188">
              <w:rPr>
                <w:rFonts w:ascii="Times New Roman" w:hAnsi="Times New Roman" w:cs="Times New Roman"/>
                <w:color w:val="4472C4" w:themeColor="accent1"/>
              </w:rPr>
              <w:t>2022</w:t>
            </w:r>
          </w:p>
        </w:tc>
        <w:tc>
          <w:tcPr>
            <w:tcW w:w="3970" w:type="dxa"/>
          </w:tcPr>
          <w:p w14:paraId="63BAF86D" w14:textId="3BB98224" w:rsidR="00E80601" w:rsidRPr="00C27188" w:rsidRDefault="00A72786" w:rsidP="000A16F6">
            <w:pPr>
              <w:rPr>
                <w:rFonts w:ascii="Times New Roman" w:hAnsi="Times New Roman" w:cs="Times New Roman"/>
                <w:color w:val="4472C4" w:themeColor="accent1"/>
              </w:rPr>
            </w:pPr>
            <w:r w:rsidRPr="00C27188">
              <w:rPr>
                <w:rFonts w:ascii="Times New Roman" w:hAnsi="Times New Roman" w:cs="Times New Roman"/>
                <w:color w:val="4472C4" w:themeColor="accent1"/>
              </w:rPr>
              <w:t xml:space="preserve">Court of Appeal of Lithuania (Lietuvos </w:t>
            </w:r>
            <w:proofErr w:type="spellStart"/>
            <w:r w:rsidRPr="00C27188">
              <w:rPr>
                <w:rFonts w:ascii="Times New Roman" w:hAnsi="Times New Roman" w:cs="Times New Roman"/>
                <w:color w:val="4472C4" w:themeColor="accent1"/>
              </w:rPr>
              <w:t>apeliacinis</w:t>
            </w:r>
            <w:proofErr w:type="spellEnd"/>
            <w:r w:rsidRPr="00C27188">
              <w:rPr>
                <w:rFonts w:ascii="Times New Roman" w:hAnsi="Times New Roman" w:cs="Times New Roman"/>
                <w:color w:val="4472C4" w:themeColor="accent1"/>
              </w:rPr>
              <w:t xml:space="preserve"> </w:t>
            </w:r>
            <w:proofErr w:type="spellStart"/>
            <w:r w:rsidRPr="00C27188">
              <w:rPr>
                <w:rFonts w:ascii="Times New Roman" w:hAnsi="Times New Roman" w:cs="Times New Roman"/>
                <w:color w:val="4472C4" w:themeColor="accent1"/>
              </w:rPr>
              <w:t>teismas</w:t>
            </w:r>
            <w:proofErr w:type="spellEnd"/>
            <w:r w:rsidRPr="00C27188">
              <w:rPr>
                <w:rFonts w:ascii="Times New Roman" w:hAnsi="Times New Roman" w:cs="Times New Roman"/>
                <w:color w:val="4472C4" w:themeColor="accent1"/>
              </w:rPr>
              <w:t>), 26 July 2022 Civil case No. e2-816-407/2022</w:t>
            </w:r>
          </w:p>
        </w:tc>
        <w:tc>
          <w:tcPr>
            <w:tcW w:w="567" w:type="dxa"/>
          </w:tcPr>
          <w:p w14:paraId="16D9512E" w14:textId="6101C47F" w:rsidR="00E80601" w:rsidRPr="00C27188" w:rsidRDefault="00A72786" w:rsidP="000A16F6">
            <w:pPr>
              <w:rPr>
                <w:rFonts w:ascii="Times New Roman" w:hAnsi="Times New Roman" w:cs="Times New Roman"/>
                <w:color w:val="4472C4" w:themeColor="accent1"/>
              </w:rPr>
            </w:pPr>
            <w:r w:rsidRPr="00C27188">
              <w:rPr>
                <w:rFonts w:ascii="Times New Roman" w:hAnsi="Times New Roman" w:cs="Times New Roman"/>
                <w:color w:val="4472C4" w:themeColor="accent1"/>
              </w:rPr>
              <w:t>UK</w:t>
            </w:r>
          </w:p>
        </w:tc>
        <w:tc>
          <w:tcPr>
            <w:tcW w:w="3255" w:type="dxa"/>
          </w:tcPr>
          <w:p w14:paraId="5A248AE3" w14:textId="77777777" w:rsidR="00E80601" w:rsidRPr="00C27188" w:rsidRDefault="00A17EB8" w:rsidP="000A16F6">
            <w:pPr>
              <w:rPr>
                <w:rFonts w:ascii="Times New Roman" w:hAnsi="Times New Roman" w:cs="Times New Roman"/>
                <w:color w:val="4472C4" w:themeColor="accent1"/>
              </w:rPr>
            </w:pPr>
            <w:r w:rsidRPr="00C27188">
              <w:rPr>
                <w:rFonts w:ascii="Times New Roman" w:hAnsi="Times New Roman" w:cs="Times New Roman"/>
                <w:color w:val="4472C4" w:themeColor="accent1"/>
              </w:rPr>
              <w:t>No</w:t>
            </w:r>
          </w:p>
          <w:p w14:paraId="29B35ED5" w14:textId="77777777" w:rsidR="00F90EBB" w:rsidRPr="00C27188" w:rsidRDefault="00F90EBB" w:rsidP="000A16F6">
            <w:pPr>
              <w:rPr>
                <w:rFonts w:ascii="Times New Roman" w:hAnsi="Times New Roman" w:cs="Times New Roman"/>
                <w:color w:val="4472C4" w:themeColor="accent1"/>
              </w:rPr>
            </w:pPr>
          </w:p>
          <w:p w14:paraId="2A0C148C" w14:textId="6149E260" w:rsidR="00F90EBB" w:rsidRPr="00C27188" w:rsidRDefault="00F90EBB" w:rsidP="000A16F6">
            <w:pPr>
              <w:rPr>
                <w:rFonts w:ascii="Times New Roman" w:hAnsi="Times New Roman" w:cs="Times New Roman"/>
                <w:color w:val="4472C4" w:themeColor="accent1"/>
              </w:rPr>
            </w:pPr>
            <w:r w:rsidRPr="00C27188">
              <w:rPr>
                <w:rFonts w:ascii="Times New Roman" w:hAnsi="Times New Roman" w:cs="Times New Roman"/>
                <w:color w:val="4472C4" w:themeColor="accent1"/>
              </w:rPr>
              <w:t>The court ordered return.</w:t>
            </w:r>
          </w:p>
        </w:tc>
      </w:tr>
      <w:tr w:rsidR="002D57EF" w:rsidRPr="00C27188" w14:paraId="6613E394" w14:textId="77777777" w:rsidTr="004E331B">
        <w:tc>
          <w:tcPr>
            <w:tcW w:w="485" w:type="dxa"/>
          </w:tcPr>
          <w:p w14:paraId="564BDB25" w14:textId="7CDDBEFD" w:rsidR="00E80601" w:rsidRPr="00C27188" w:rsidRDefault="00A058B4" w:rsidP="000A16F6">
            <w:pPr>
              <w:rPr>
                <w:rFonts w:ascii="Times New Roman" w:hAnsi="Times New Roman" w:cs="Times New Roman"/>
                <w:color w:val="4472C4" w:themeColor="accent1"/>
              </w:rPr>
            </w:pPr>
            <w:r w:rsidRPr="00C27188">
              <w:rPr>
                <w:rFonts w:ascii="Times New Roman" w:hAnsi="Times New Roman" w:cs="Times New Roman"/>
                <w:color w:val="4472C4" w:themeColor="accent1"/>
              </w:rPr>
              <w:t>2</w:t>
            </w:r>
          </w:p>
        </w:tc>
        <w:tc>
          <w:tcPr>
            <w:tcW w:w="927" w:type="dxa"/>
          </w:tcPr>
          <w:p w14:paraId="37230F1B" w14:textId="2991C986" w:rsidR="00E80601" w:rsidRPr="00C27188" w:rsidRDefault="00024CE7" w:rsidP="000A16F6">
            <w:pPr>
              <w:rPr>
                <w:rFonts w:ascii="Times New Roman" w:hAnsi="Times New Roman" w:cs="Times New Roman"/>
                <w:color w:val="4472C4" w:themeColor="accent1"/>
              </w:rPr>
            </w:pPr>
            <w:r w:rsidRPr="00C27188">
              <w:rPr>
                <w:rFonts w:ascii="Times New Roman" w:hAnsi="Times New Roman" w:cs="Times New Roman"/>
                <w:color w:val="4472C4" w:themeColor="accent1"/>
              </w:rPr>
              <w:t>2022</w:t>
            </w:r>
          </w:p>
        </w:tc>
        <w:tc>
          <w:tcPr>
            <w:tcW w:w="3970" w:type="dxa"/>
          </w:tcPr>
          <w:p w14:paraId="57075187" w14:textId="05B4211D" w:rsidR="00E80601" w:rsidRPr="00C27188" w:rsidRDefault="00024CE7" w:rsidP="000A16F6">
            <w:pPr>
              <w:rPr>
                <w:rFonts w:ascii="Times New Roman" w:hAnsi="Times New Roman" w:cs="Times New Roman"/>
                <w:color w:val="4472C4" w:themeColor="accent1"/>
              </w:rPr>
            </w:pPr>
            <w:r w:rsidRPr="00C27188">
              <w:rPr>
                <w:rFonts w:ascii="Times New Roman" w:hAnsi="Times New Roman" w:cs="Times New Roman"/>
                <w:color w:val="4472C4" w:themeColor="accent1"/>
              </w:rPr>
              <w:t xml:space="preserve">Court of Appeal of Lithuania (Lietuvos </w:t>
            </w:r>
            <w:proofErr w:type="spellStart"/>
            <w:r w:rsidRPr="00C27188">
              <w:rPr>
                <w:rFonts w:ascii="Times New Roman" w:hAnsi="Times New Roman" w:cs="Times New Roman"/>
                <w:color w:val="4472C4" w:themeColor="accent1"/>
              </w:rPr>
              <w:t>apeliacinis</w:t>
            </w:r>
            <w:proofErr w:type="spellEnd"/>
            <w:r w:rsidRPr="00C27188">
              <w:rPr>
                <w:rFonts w:ascii="Times New Roman" w:hAnsi="Times New Roman" w:cs="Times New Roman"/>
                <w:color w:val="4472C4" w:themeColor="accent1"/>
              </w:rPr>
              <w:t xml:space="preserve"> </w:t>
            </w:r>
            <w:proofErr w:type="spellStart"/>
            <w:r w:rsidRPr="00C27188">
              <w:rPr>
                <w:rFonts w:ascii="Times New Roman" w:hAnsi="Times New Roman" w:cs="Times New Roman"/>
                <w:color w:val="4472C4" w:themeColor="accent1"/>
              </w:rPr>
              <w:t>teismas</w:t>
            </w:r>
            <w:proofErr w:type="spellEnd"/>
            <w:r w:rsidRPr="00C27188">
              <w:rPr>
                <w:rFonts w:ascii="Times New Roman" w:hAnsi="Times New Roman" w:cs="Times New Roman"/>
                <w:color w:val="4472C4" w:themeColor="accent1"/>
              </w:rPr>
              <w:t>), 15 June 2022 Civil case No. e2-670-330/2022</w:t>
            </w:r>
          </w:p>
        </w:tc>
        <w:tc>
          <w:tcPr>
            <w:tcW w:w="567" w:type="dxa"/>
          </w:tcPr>
          <w:p w14:paraId="4ECF9643" w14:textId="760078BE" w:rsidR="00E80601" w:rsidRPr="00C27188" w:rsidRDefault="00024CE7" w:rsidP="000A16F6">
            <w:pPr>
              <w:rPr>
                <w:rFonts w:ascii="Times New Roman" w:hAnsi="Times New Roman" w:cs="Times New Roman"/>
                <w:color w:val="4472C4" w:themeColor="accent1"/>
              </w:rPr>
            </w:pPr>
            <w:r w:rsidRPr="00C27188">
              <w:rPr>
                <w:rFonts w:ascii="Times New Roman" w:hAnsi="Times New Roman" w:cs="Times New Roman"/>
                <w:color w:val="4472C4" w:themeColor="accent1"/>
              </w:rPr>
              <w:t>UK</w:t>
            </w:r>
          </w:p>
        </w:tc>
        <w:tc>
          <w:tcPr>
            <w:tcW w:w="3255" w:type="dxa"/>
          </w:tcPr>
          <w:p w14:paraId="1B89A07A" w14:textId="77777777" w:rsidR="00E80601" w:rsidRPr="00C27188" w:rsidRDefault="00051010" w:rsidP="000A16F6">
            <w:pPr>
              <w:rPr>
                <w:rFonts w:ascii="Times New Roman" w:hAnsi="Times New Roman" w:cs="Times New Roman"/>
                <w:color w:val="4472C4" w:themeColor="accent1"/>
              </w:rPr>
            </w:pPr>
            <w:r w:rsidRPr="00C27188">
              <w:rPr>
                <w:rFonts w:ascii="Times New Roman" w:hAnsi="Times New Roman" w:cs="Times New Roman"/>
                <w:color w:val="4472C4" w:themeColor="accent1"/>
              </w:rPr>
              <w:t>No</w:t>
            </w:r>
          </w:p>
          <w:p w14:paraId="2B2A7845" w14:textId="77777777" w:rsidR="00F90EBB" w:rsidRPr="00C27188" w:rsidRDefault="00F90EBB" w:rsidP="000A16F6">
            <w:pPr>
              <w:rPr>
                <w:rFonts w:ascii="Times New Roman" w:hAnsi="Times New Roman" w:cs="Times New Roman"/>
                <w:color w:val="4472C4" w:themeColor="accent1"/>
              </w:rPr>
            </w:pPr>
          </w:p>
          <w:p w14:paraId="0CC4699A" w14:textId="1754C7A2" w:rsidR="00F90EBB" w:rsidRPr="00C27188" w:rsidRDefault="00F90EBB" w:rsidP="000A16F6">
            <w:pPr>
              <w:rPr>
                <w:rFonts w:ascii="Times New Roman" w:hAnsi="Times New Roman" w:cs="Times New Roman"/>
                <w:color w:val="4472C4" w:themeColor="accent1"/>
              </w:rPr>
            </w:pPr>
            <w:r w:rsidRPr="00C27188">
              <w:rPr>
                <w:rFonts w:ascii="Times New Roman" w:hAnsi="Times New Roman" w:cs="Times New Roman"/>
                <w:color w:val="4472C4" w:themeColor="accent1"/>
              </w:rPr>
              <w:t>The court ordered return.</w:t>
            </w:r>
          </w:p>
        </w:tc>
      </w:tr>
      <w:tr w:rsidR="002D57EF" w:rsidRPr="00C27188" w14:paraId="71F2E6E8" w14:textId="77777777" w:rsidTr="004E331B">
        <w:tc>
          <w:tcPr>
            <w:tcW w:w="485" w:type="dxa"/>
          </w:tcPr>
          <w:p w14:paraId="131BCF5B" w14:textId="61F4DFC7" w:rsidR="00051010" w:rsidRPr="00C27188" w:rsidRDefault="00A058B4" w:rsidP="00DA3228">
            <w:pPr>
              <w:rPr>
                <w:rFonts w:ascii="Times New Roman" w:hAnsi="Times New Roman" w:cs="Times New Roman"/>
                <w:color w:val="4472C4" w:themeColor="accent1"/>
              </w:rPr>
            </w:pPr>
            <w:r w:rsidRPr="00C27188">
              <w:rPr>
                <w:rFonts w:ascii="Times New Roman" w:hAnsi="Times New Roman" w:cs="Times New Roman"/>
                <w:color w:val="4472C4" w:themeColor="accent1"/>
              </w:rPr>
              <w:t>3</w:t>
            </w:r>
          </w:p>
        </w:tc>
        <w:tc>
          <w:tcPr>
            <w:tcW w:w="927" w:type="dxa"/>
          </w:tcPr>
          <w:p w14:paraId="2CEE81E5" w14:textId="26B84C5C" w:rsidR="00051010" w:rsidRPr="00C27188" w:rsidRDefault="00051010" w:rsidP="00DA3228">
            <w:pPr>
              <w:rPr>
                <w:rFonts w:ascii="Times New Roman" w:hAnsi="Times New Roman" w:cs="Times New Roman"/>
                <w:color w:val="4472C4" w:themeColor="accent1"/>
              </w:rPr>
            </w:pPr>
            <w:r w:rsidRPr="00C27188">
              <w:rPr>
                <w:rFonts w:ascii="Times New Roman" w:hAnsi="Times New Roman" w:cs="Times New Roman"/>
                <w:color w:val="4472C4" w:themeColor="accent1"/>
              </w:rPr>
              <w:t>2022</w:t>
            </w:r>
          </w:p>
        </w:tc>
        <w:tc>
          <w:tcPr>
            <w:tcW w:w="3970" w:type="dxa"/>
          </w:tcPr>
          <w:p w14:paraId="54F9EBA2" w14:textId="04F74241" w:rsidR="00051010" w:rsidRPr="00C27188" w:rsidRDefault="00051010" w:rsidP="00DA3228">
            <w:pPr>
              <w:rPr>
                <w:rFonts w:ascii="Times New Roman" w:hAnsi="Times New Roman" w:cs="Times New Roman"/>
                <w:color w:val="4472C4" w:themeColor="accent1"/>
              </w:rPr>
            </w:pPr>
            <w:r w:rsidRPr="00C27188">
              <w:rPr>
                <w:rFonts w:ascii="Times New Roman" w:hAnsi="Times New Roman" w:cs="Times New Roman"/>
                <w:color w:val="4472C4" w:themeColor="accent1"/>
              </w:rPr>
              <w:t xml:space="preserve">Court of Appeal of Lithuania (Lietuvos </w:t>
            </w:r>
            <w:proofErr w:type="spellStart"/>
            <w:r w:rsidRPr="00C27188">
              <w:rPr>
                <w:rFonts w:ascii="Times New Roman" w:hAnsi="Times New Roman" w:cs="Times New Roman"/>
                <w:color w:val="4472C4" w:themeColor="accent1"/>
              </w:rPr>
              <w:t>apeliacinis</w:t>
            </w:r>
            <w:proofErr w:type="spellEnd"/>
            <w:r w:rsidRPr="00C27188">
              <w:rPr>
                <w:rFonts w:ascii="Times New Roman" w:hAnsi="Times New Roman" w:cs="Times New Roman"/>
                <w:color w:val="4472C4" w:themeColor="accent1"/>
              </w:rPr>
              <w:t xml:space="preserve"> </w:t>
            </w:r>
            <w:proofErr w:type="spellStart"/>
            <w:r w:rsidRPr="00C27188">
              <w:rPr>
                <w:rFonts w:ascii="Times New Roman" w:hAnsi="Times New Roman" w:cs="Times New Roman"/>
                <w:color w:val="4472C4" w:themeColor="accent1"/>
              </w:rPr>
              <w:t>teismas</w:t>
            </w:r>
            <w:proofErr w:type="spellEnd"/>
            <w:r w:rsidRPr="00C27188">
              <w:rPr>
                <w:rFonts w:ascii="Times New Roman" w:hAnsi="Times New Roman" w:cs="Times New Roman"/>
                <w:color w:val="4472C4" w:themeColor="accent1"/>
              </w:rPr>
              <w:t>), 22 April 2022 Civil case No. e2-474-790/2022</w:t>
            </w:r>
          </w:p>
        </w:tc>
        <w:tc>
          <w:tcPr>
            <w:tcW w:w="567" w:type="dxa"/>
          </w:tcPr>
          <w:p w14:paraId="12D17D98" w14:textId="7616ABD2" w:rsidR="00051010" w:rsidRPr="00C27188" w:rsidRDefault="00051010" w:rsidP="00DA3228">
            <w:pPr>
              <w:rPr>
                <w:rFonts w:ascii="Times New Roman" w:hAnsi="Times New Roman" w:cs="Times New Roman"/>
                <w:color w:val="4472C4" w:themeColor="accent1"/>
              </w:rPr>
            </w:pPr>
            <w:r w:rsidRPr="00C27188">
              <w:rPr>
                <w:rFonts w:ascii="Times New Roman" w:hAnsi="Times New Roman" w:cs="Times New Roman"/>
                <w:color w:val="4472C4" w:themeColor="accent1"/>
              </w:rPr>
              <w:t>UK</w:t>
            </w:r>
          </w:p>
        </w:tc>
        <w:tc>
          <w:tcPr>
            <w:tcW w:w="3255" w:type="dxa"/>
          </w:tcPr>
          <w:p w14:paraId="1971936C" w14:textId="77777777" w:rsidR="00051010" w:rsidRPr="00C27188" w:rsidRDefault="00F90EBB" w:rsidP="00DA3228">
            <w:pPr>
              <w:rPr>
                <w:rFonts w:ascii="Times New Roman" w:hAnsi="Times New Roman" w:cs="Times New Roman"/>
                <w:color w:val="4472C4" w:themeColor="accent1"/>
              </w:rPr>
            </w:pPr>
            <w:r w:rsidRPr="00C27188">
              <w:rPr>
                <w:rFonts w:ascii="Times New Roman" w:hAnsi="Times New Roman" w:cs="Times New Roman"/>
                <w:color w:val="4472C4" w:themeColor="accent1"/>
              </w:rPr>
              <w:t>No</w:t>
            </w:r>
          </w:p>
          <w:p w14:paraId="3F921508" w14:textId="77777777" w:rsidR="00F90EBB" w:rsidRPr="00C27188" w:rsidRDefault="00F90EBB" w:rsidP="00DA3228">
            <w:pPr>
              <w:rPr>
                <w:rFonts w:ascii="Times New Roman" w:hAnsi="Times New Roman" w:cs="Times New Roman"/>
                <w:color w:val="4472C4" w:themeColor="accent1"/>
              </w:rPr>
            </w:pPr>
          </w:p>
          <w:p w14:paraId="09CBFE99" w14:textId="66749F39" w:rsidR="00F90EBB" w:rsidRPr="00C27188" w:rsidRDefault="00F90EBB" w:rsidP="00DA3228">
            <w:pPr>
              <w:rPr>
                <w:rFonts w:ascii="Times New Roman" w:hAnsi="Times New Roman" w:cs="Times New Roman"/>
                <w:color w:val="4472C4" w:themeColor="accent1"/>
              </w:rPr>
            </w:pPr>
            <w:r w:rsidRPr="00C27188">
              <w:rPr>
                <w:rFonts w:ascii="Times New Roman" w:hAnsi="Times New Roman" w:cs="Times New Roman"/>
                <w:color w:val="4472C4" w:themeColor="accent1"/>
              </w:rPr>
              <w:t>The return was refused on the basis of Article 13(2) of the HC</w:t>
            </w:r>
          </w:p>
        </w:tc>
      </w:tr>
      <w:tr w:rsidR="002D57EF" w:rsidRPr="00C27188" w14:paraId="429D0235" w14:textId="77777777" w:rsidTr="004E331B">
        <w:tc>
          <w:tcPr>
            <w:tcW w:w="485" w:type="dxa"/>
          </w:tcPr>
          <w:p w14:paraId="2D5EDDA9" w14:textId="0A39B67B" w:rsidR="003B65E9" w:rsidRPr="00C27188" w:rsidRDefault="00A058B4" w:rsidP="000A16F6">
            <w:pPr>
              <w:rPr>
                <w:rFonts w:ascii="Times New Roman" w:hAnsi="Times New Roman" w:cs="Times New Roman"/>
                <w:color w:val="4472C4" w:themeColor="accent1"/>
              </w:rPr>
            </w:pPr>
            <w:r w:rsidRPr="00C27188">
              <w:rPr>
                <w:rFonts w:ascii="Times New Roman" w:hAnsi="Times New Roman" w:cs="Times New Roman"/>
                <w:color w:val="4472C4" w:themeColor="accent1"/>
              </w:rPr>
              <w:t>4</w:t>
            </w:r>
          </w:p>
        </w:tc>
        <w:tc>
          <w:tcPr>
            <w:tcW w:w="927" w:type="dxa"/>
          </w:tcPr>
          <w:p w14:paraId="2B6A5D49" w14:textId="5DBC17FE" w:rsidR="003B65E9" w:rsidRPr="00C27188" w:rsidRDefault="003B65E9" w:rsidP="000A16F6">
            <w:pPr>
              <w:rPr>
                <w:rFonts w:ascii="Times New Roman" w:hAnsi="Times New Roman" w:cs="Times New Roman"/>
                <w:color w:val="4472C4" w:themeColor="accent1"/>
              </w:rPr>
            </w:pPr>
            <w:r w:rsidRPr="00C27188">
              <w:rPr>
                <w:rFonts w:ascii="Times New Roman" w:hAnsi="Times New Roman" w:cs="Times New Roman"/>
                <w:color w:val="4472C4" w:themeColor="accent1"/>
              </w:rPr>
              <w:t>2022</w:t>
            </w:r>
          </w:p>
        </w:tc>
        <w:tc>
          <w:tcPr>
            <w:tcW w:w="3970" w:type="dxa"/>
          </w:tcPr>
          <w:p w14:paraId="2A898F8A" w14:textId="25C5D1E5" w:rsidR="003B65E9" w:rsidRPr="00C27188" w:rsidRDefault="003B65E9" w:rsidP="000A16F6">
            <w:pPr>
              <w:rPr>
                <w:rFonts w:ascii="Times New Roman" w:hAnsi="Times New Roman" w:cs="Times New Roman"/>
                <w:color w:val="4472C4" w:themeColor="accent1"/>
              </w:rPr>
            </w:pPr>
            <w:r w:rsidRPr="00C27188">
              <w:rPr>
                <w:rFonts w:ascii="Times New Roman" w:hAnsi="Times New Roman" w:cs="Times New Roman"/>
                <w:color w:val="4472C4" w:themeColor="accent1"/>
              </w:rPr>
              <w:t xml:space="preserve">Court of Appeal of Lithuania (Lietuvos </w:t>
            </w:r>
            <w:proofErr w:type="spellStart"/>
            <w:r w:rsidRPr="00C27188">
              <w:rPr>
                <w:rFonts w:ascii="Times New Roman" w:hAnsi="Times New Roman" w:cs="Times New Roman"/>
                <w:color w:val="4472C4" w:themeColor="accent1"/>
              </w:rPr>
              <w:t>apeliacinis</w:t>
            </w:r>
            <w:proofErr w:type="spellEnd"/>
            <w:r w:rsidRPr="00C27188">
              <w:rPr>
                <w:rFonts w:ascii="Times New Roman" w:hAnsi="Times New Roman" w:cs="Times New Roman"/>
                <w:color w:val="4472C4" w:themeColor="accent1"/>
              </w:rPr>
              <w:t xml:space="preserve"> </w:t>
            </w:r>
            <w:proofErr w:type="spellStart"/>
            <w:r w:rsidRPr="00C27188">
              <w:rPr>
                <w:rFonts w:ascii="Times New Roman" w:hAnsi="Times New Roman" w:cs="Times New Roman"/>
                <w:color w:val="4472C4" w:themeColor="accent1"/>
              </w:rPr>
              <w:t>teismas</w:t>
            </w:r>
            <w:proofErr w:type="spellEnd"/>
            <w:r w:rsidRPr="00C27188">
              <w:rPr>
                <w:rFonts w:ascii="Times New Roman" w:hAnsi="Times New Roman" w:cs="Times New Roman"/>
                <w:color w:val="4472C4" w:themeColor="accent1"/>
              </w:rPr>
              <w:t>), 31 March 2022 Civil case No. e2-369-1120/2022</w:t>
            </w:r>
          </w:p>
        </w:tc>
        <w:tc>
          <w:tcPr>
            <w:tcW w:w="567" w:type="dxa"/>
          </w:tcPr>
          <w:p w14:paraId="7A5468B0" w14:textId="2D6D733F" w:rsidR="003B65E9" w:rsidRPr="00C27188" w:rsidRDefault="003B65E9" w:rsidP="000A16F6">
            <w:pPr>
              <w:rPr>
                <w:rFonts w:ascii="Times New Roman" w:hAnsi="Times New Roman" w:cs="Times New Roman"/>
                <w:color w:val="4472C4" w:themeColor="accent1"/>
              </w:rPr>
            </w:pPr>
            <w:r w:rsidRPr="00C27188">
              <w:rPr>
                <w:rFonts w:ascii="Times New Roman" w:hAnsi="Times New Roman" w:cs="Times New Roman"/>
                <w:color w:val="4472C4" w:themeColor="accent1"/>
              </w:rPr>
              <w:t>UK</w:t>
            </w:r>
          </w:p>
        </w:tc>
        <w:tc>
          <w:tcPr>
            <w:tcW w:w="3255" w:type="dxa"/>
          </w:tcPr>
          <w:p w14:paraId="4700FDBE" w14:textId="77777777" w:rsidR="003B65E9" w:rsidRPr="00C27188" w:rsidRDefault="008F0987" w:rsidP="000A16F6">
            <w:pPr>
              <w:rPr>
                <w:rFonts w:ascii="Times New Roman" w:hAnsi="Times New Roman" w:cs="Times New Roman"/>
                <w:color w:val="4472C4" w:themeColor="accent1"/>
              </w:rPr>
            </w:pPr>
            <w:r w:rsidRPr="00C27188">
              <w:rPr>
                <w:rFonts w:ascii="Times New Roman" w:hAnsi="Times New Roman" w:cs="Times New Roman"/>
                <w:color w:val="4472C4" w:themeColor="accent1"/>
              </w:rPr>
              <w:t>No</w:t>
            </w:r>
          </w:p>
          <w:p w14:paraId="56379E20" w14:textId="77777777" w:rsidR="00F90EBB" w:rsidRPr="00C27188" w:rsidRDefault="00F90EBB" w:rsidP="000A16F6">
            <w:pPr>
              <w:rPr>
                <w:rFonts w:ascii="Times New Roman" w:hAnsi="Times New Roman" w:cs="Times New Roman"/>
                <w:color w:val="4472C4" w:themeColor="accent1"/>
              </w:rPr>
            </w:pPr>
          </w:p>
          <w:p w14:paraId="134113B0" w14:textId="7B2BD3BD" w:rsidR="00F90EBB" w:rsidRPr="00C27188" w:rsidRDefault="00F90EBB" w:rsidP="000A16F6">
            <w:pPr>
              <w:rPr>
                <w:rFonts w:ascii="Times New Roman" w:hAnsi="Times New Roman" w:cs="Times New Roman"/>
                <w:color w:val="4472C4" w:themeColor="accent1"/>
              </w:rPr>
            </w:pPr>
            <w:r w:rsidRPr="00C27188">
              <w:rPr>
                <w:rFonts w:ascii="Times New Roman" w:hAnsi="Times New Roman" w:cs="Times New Roman"/>
                <w:color w:val="4472C4" w:themeColor="accent1"/>
              </w:rPr>
              <w:t>The court ordered return.</w:t>
            </w:r>
          </w:p>
        </w:tc>
      </w:tr>
      <w:tr w:rsidR="002D57EF" w:rsidRPr="00C27188" w14:paraId="334E52A2" w14:textId="77777777" w:rsidTr="004E331B">
        <w:tc>
          <w:tcPr>
            <w:tcW w:w="485" w:type="dxa"/>
          </w:tcPr>
          <w:p w14:paraId="4723D47F" w14:textId="631A3059" w:rsidR="0015340E" w:rsidRPr="00C27188" w:rsidRDefault="00A058B4" w:rsidP="0015340E">
            <w:pPr>
              <w:rPr>
                <w:rFonts w:ascii="Times New Roman" w:hAnsi="Times New Roman" w:cs="Times New Roman"/>
                <w:color w:val="4472C4" w:themeColor="accent1"/>
              </w:rPr>
            </w:pPr>
            <w:r w:rsidRPr="00C27188">
              <w:rPr>
                <w:rFonts w:ascii="Times New Roman" w:hAnsi="Times New Roman" w:cs="Times New Roman"/>
                <w:color w:val="4472C4" w:themeColor="accent1"/>
              </w:rPr>
              <w:t>5</w:t>
            </w:r>
          </w:p>
        </w:tc>
        <w:tc>
          <w:tcPr>
            <w:tcW w:w="927" w:type="dxa"/>
          </w:tcPr>
          <w:p w14:paraId="449BF078" w14:textId="77777777" w:rsidR="0015340E" w:rsidRPr="00C27188" w:rsidRDefault="0015340E" w:rsidP="0015340E">
            <w:pPr>
              <w:rPr>
                <w:rFonts w:ascii="Times New Roman" w:hAnsi="Times New Roman" w:cs="Times New Roman"/>
                <w:color w:val="4472C4" w:themeColor="accent1"/>
              </w:rPr>
            </w:pPr>
            <w:r w:rsidRPr="00C27188">
              <w:rPr>
                <w:rFonts w:ascii="Times New Roman" w:hAnsi="Times New Roman" w:cs="Times New Roman"/>
                <w:color w:val="4472C4" w:themeColor="accent1"/>
              </w:rPr>
              <w:t>2022</w:t>
            </w:r>
          </w:p>
        </w:tc>
        <w:tc>
          <w:tcPr>
            <w:tcW w:w="3970" w:type="dxa"/>
          </w:tcPr>
          <w:p w14:paraId="2D64FE64" w14:textId="662BA76D" w:rsidR="0015340E" w:rsidRPr="00C27188" w:rsidRDefault="0015340E" w:rsidP="0015340E">
            <w:pPr>
              <w:rPr>
                <w:rFonts w:ascii="Times New Roman" w:hAnsi="Times New Roman" w:cs="Times New Roman"/>
                <w:color w:val="4472C4" w:themeColor="accent1"/>
              </w:rPr>
            </w:pPr>
            <w:r w:rsidRPr="00C27188">
              <w:rPr>
                <w:rFonts w:ascii="Times New Roman" w:hAnsi="Times New Roman" w:cs="Times New Roman"/>
                <w:color w:val="4472C4" w:themeColor="accent1"/>
              </w:rPr>
              <w:t xml:space="preserve">Court of Appeal of Lithuania (Lietuvos </w:t>
            </w:r>
            <w:proofErr w:type="spellStart"/>
            <w:r w:rsidRPr="00C27188">
              <w:rPr>
                <w:rFonts w:ascii="Times New Roman" w:hAnsi="Times New Roman" w:cs="Times New Roman"/>
                <w:color w:val="4472C4" w:themeColor="accent1"/>
              </w:rPr>
              <w:t>apeliacinis</w:t>
            </w:r>
            <w:proofErr w:type="spellEnd"/>
            <w:r w:rsidRPr="00C27188">
              <w:rPr>
                <w:rFonts w:ascii="Times New Roman" w:hAnsi="Times New Roman" w:cs="Times New Roman"/>
                <w:color w:val="4472C4" w:themeColor="accent1"/>
              </w:rPr>
              <w:t xml:space="preserve"> </w:t>
            </w:r>
            <w:proofErr w:type="spellStart"/>
            <w:r w:rsidRPr="00C27188">
              <w:rPr>
                <w:rFonts w:ascii="Times New Roman" w:hAnsi="Times New Roman" w:cs="Times New Roman"/>
                <w:color w:val="4472C4" w:themeColor="accent1"/>
              </w:rPr>
              <w:t>teismas</w:t>
            </w:r>
            <w:proofErr w:type="spellEnd"/>
            <w:r w:rsidRPr="00C27188">
              <w:rPr>
                <w:rFonts w:ascii="Times New Roman" w:hAnsi="Times New Roman" w:cs="Times New Roman"/>
                <w:color w:val="4472C4" w:themeColor="accent1"/>
              </w:rPr>
              <w:t>), 24 March 2022, Civil case No. e2-362-910/2022</w:t>
            </w:r>
          </w:p>
        </w:tc>
        <w:tc>
          <w:tcPr>
            <w:tcW w:w="567" w:type="dxa"/>
          </w:tcPr>
          <w:p w14:paraId="640CAA69" w14:textId="76530D95" w:rsidR="0015340E" w:rsidRPr="00C27188" w:rsidRDefault="0015340E" w:rsidP="0015340E">
            <w:pPr>
              <w:rPr>
                <w:rFonts w:ascii="Times New Roman" w:hAnsi="Times New Roman" w:cs="Times New Roman"/>
                <w:color w:val="4472C4" w:themeColor="accent1"/>
              </w:rPr>
            </w:pPr>
            <w:r w:rsidRPr="00C27188">
              <w:rPr>
                <w:rFonts w:ascii="Times New Roman" w:hAnsi="Times New Roman" w:cs="Times New Roman"/>
                <w:color w:val="4472C4" w:themeColor="accent1"/>
              </w:rPr>
              <w:t>UK</w:t>
            </w:r>
          </w:p>
        </w:tc>
        <w:tc>
          <w:tcPr>
            <w:tcW w:w="3255" w:type="dxa"/>
          </w:tcPr>
          <w:p w14:paraId="4A1EE24E" w14:textId="230D37F5" w:rsidR="0015340E" w:rsidRPr="00C27188" w:rsidRDefault="0015340E" w:rsidP="0015340E">
            <w:pPr>
              <w:rPr>
                <w:rFonts w:ascii="Times New Roman" w:hAnsi="Times New Roman" w:cs="Times New Roman"/>
                <w:color w:val="4472C4" w:themeColor="accent1"/>
              </w:rPr>
            </w:pPr>
            <w:r w:rsidRPr="00C27188">
              <w:rPr>
                <w:rFonts w:ascii="Times New Roman" w:hAnsi="Times New Roman" w:cs="Times New Roman"/>
                <w:color w:val="4472C4" w:themeColor="accent1"/>
              </w:rPr>
              <w:t>Yes</w:t>
            </w:r>
          </w:p>
          <w:p w14:paraId="4D287B35" w14:textId="77777777" w:rsidR="00F90EBB" w:rsidRPr="00C27188" w:rsidRDefault="00F90EBB" w:rsidP="0015340E">
            <w:pPr>
              <w:rPr>
                <w:rFonts w:ascii="Times New Roman" w:hAnsi="Times New Roman" w:cs="Times New Roman"/>
                <w:color w:val="4472C4" w:themeColor="accent1"/>
              </w:rPr>
            </w:pPr>
          </w:p>
          <w:p w14:paraId="1DDC9BB6" w14:textId="729BB812" w:rsidR="0015340E" w:rsidRPr="00C27188" w:rsidRDefault="008F0987" w:rsidP="0015340E">
            <w:pPr>
              <w:rPr>
                <w:rFonts w:ascii="Times New Roman" w:hAnsi="Times New Roman" w:cs="Times New Roman"/>
                <w:color w:val="4472C4" w:themeColor="accent1"/>
              </w:rPr>
            </w:pPr>
            <w:r w:rsidRPr="00C27188">
              <w:rPr>
                <w:rFonts w:ascii="Times New Roman" w:hAnsi="Times New Roman" w:cs="Times New Roman"/>
                <w:color w:val="4472C4" w:themeColor="accent1"/>
              </w:rPr>
              <w:t>(but together with Article 12</w:t>
            </w:r>
            <w:r w:rsidR="00093BC7">
              <w:rPr>
                <w:rFonts w:ascii="Times New Roman" w:hAnsi="Times New Roman" w:cs="Times New Roman"/>
                <w:color w:val="4472C4" w:themeColor="accent1"/>
              </w:rPr>
              <w:t xml:space="preserve"> </w:t>
            </w:r>
            <w:r w:rsidR="00093BC7" w:rsidRPr="00C27188">
              <w:rPr>
                <w:rFonts w:ascii="Times New Roman" w:hAnsi="Times New Roman" w:cs="Times New Roman"/>
                <w:color w:val="4472C4" w:themeColor="accent1"/>
              </w:rPr>
              <w:t>of the HC</w:t>
            </w:r>
            <w:r w:rsidRPr="00C27188">
              <w:rPr>
                <w:rFonts w:ascii="Times New Roman" w:hAnsi="Times New Roman" w:cs="Times New Roman"/>
                <w:color w:val="4472C4" w:themeColor="accent1"/>
              </w:rPr>
              <w:t>)</w:t>
            </w:r>
          </w:p>
        </w:tc>
      </w:tr>
      <w:tr w:rsidR="002D57EF" w:rsidRPr="00C27188" w14:paraId="2EFBCF30" w14:textId="77777777" w:rsidTr="004E331B">
        <w:tc>
          <w:tcPr>
            <w:tcW w:w="485" w:type="dxa"/>
          </w:tcPr>
          <w:p w14:paraId="5EC4EF8F" w14:textId="7EBDB1DA" w:rsidR="0015340E" w:rsidRPr="00C27188" w:rsidRDefault="00A058B4" w:rsidP="0015340E">
            <w:pPr>
              <w:rPr>
                <w:rFonts w:ascii="Times New Roman" w:hAnsi="Times New Roman" w:cs="Times New Roman"/>
                <w:color w:val="4472C4" w:themeColor="accent1"/>
              </w:rPr>
            </w:pPr>
            <w:r w:rsidRPr="00C27188">
              <w:rPr>
                <w:rFonts w:ascii="Times New Roman" w:hAnsi="Times New Roman" w:cs="Times New Roman"/>
                <w:color w:val="4472C4" w:themeColor="accent1"/>
              </w:rPr>
              <w:t>6</w:t>
            </w:r>
          </w:p>
        </w:tc>
        <w:tc>
          <w:tcPr>
            <w:tcW w:w="927" w:type="dxa"/>
          </w:tcPr>
          <w:p w14:paraId="44273191" w14:textId="6DD640CB" w:rsidR="0015340E" w:rsidRPr="00C27188" w:rsidRDefault="0015340E" w:rsidP="0015340E">
            <w:pPr>
              <w:rPr>
                <w:rFonts w:ascii="Times New Roman" w:hAnsi="Times New Roman" w:cs="Times New Roman"/>
                <w:color w:val="4472C4" w:themeColor="accent1"/>
              </w:rPr>
            </w:pPr>
            <w:r w:rsidRPr="00C27188">
              <w:rPr>
                <w:rFonts w:ascii="Times New Roman" w:hAnsi="Times New Roman" w:cs="Times New Roman"/>
                <w:color w:val="4472C4" w:themeColor="accent1"/>
              </w:rPr>
              <w:t>2019</w:t>
            </w:r>
          </w:p>
        </w:tc>
        <w:tc>
          <w:tcPr>
            <w:tcW w:w="3970" w:type="dxa"/>
          </w:tcPr>
          <w:p w14:paraId="2EA561BE" w14:textId="7ABD945C" w:rsidR="0015340E" w:rsidRPr="00C27188" w:rsidRDefault="0015340E" w:rsidP="0015340E">
            <w:pPr>
              <w:rPr>
                <w:rFonts w:ascii="Times New Roman" w:hAnsi="Times New Roman" w:cs="Times New Roman"/>
                <w:color w:val="4472C4" w:themeColor="accent1"/>
              </w:rPr>
            </w:pPr>
            <w:r w:rsidRPr="00C27188">
              <w:rPr>
                <w:rFonts w:ascii="Times New Roman" w:hAnsi="Times New Roman" w:cs="Times New Roman"/>
                <w:color w:val="4472C4" w:themeColor="accent1"/>
              </w:rPr>
              <w:t xml:space="preserve">Vilnius Regional Court (Vilniaus </w:t>
            </w:r>
            <w:proofErr w:type="spellStart"/>
            <w:r w:rsidRPr="00C27188">
              <w:rPr>
                <w:rFonts w:ascii="Times New Roman" w:hAnsi="Times New Roman" w:cs="Times New Roman"/>
                <w:color w:val="4472C4" w:themeColor="accent1"/>
              </w:rPr>
              <w:t>apygardos</w:t>
            </w:r>
            <w:proofErr w:type="spellEnd"/>
            <w:r w:rsidRPr="00C27188">
              <w:rPr>
                <w:rFonts w:ascii="Times New Roman" w:hAnsi="Times New Roman" w:cs="Times New Roman"/>
                <w:color w:val="4472C4" w:themeColor="accent1"/>
              </w:rPr>
              <w:t xml:space="preserve"> </w:t>
            </w:r>
            <w:proofErr w:type="spellStart"/>
            <w:r w:rsidRPr="00C27188">
              <w:rPr>
                <w:rFonts w:ascii="Times New Roman" w:hAnsi="Times New Roman" w:cs="Times New Roman"/>
                <w:color w:val="4472C4" w:themeColor="accent1"/>
              </w:rPr>
              <w:t>teismas</w:t>
            </w:r>
            <w:proofErr w:type="spellEnd"/>
            <w:r w:rsidRPr="00C27188">
              <w:rPr>
                <w:rFonts w:ascii="Times New Roman" w:hAnsi="Times New Roman" w:cs="Times New Roman"/>
                <w:color w:val="4472C4" w:themeColor="accent1"/>
              </w:rPr>
              <w:t>), 12 February 2019, Civil case No. en2-2537-275/2019</w:t>
            </w:r>
          </w:p>
        </w:tc>
        <w:tc>
          <w:tcPr>
            <w:tcW w:w="567" w:type="dxa"/>
          </w:tcPr>
          <w:p w14:paraId="73568B7D" w14:textId="13093F3F" w:rsidR="0015340E" w:rsidRPr="00C27188" w:rsidRDefault="0015340E" w:rsidP="0015340E">
            <w:pPr>
              <w:rPr>
                <w:rFonts w:ascii="Times New Roman" w:hAnsi="Times New Roman" w:cs="Times New Roman"/>
                <w:color w:val="4472C4" w:themeColor="accent1"/>
              </w:rPr>
            </w:pPr>
            <w:r w:rsidRPr="00C27188">
              <w:rPr>
                <w:rFonts w:ascii="Times New Roman" w:hAnsi="Times New Roman" w:cs="Times New Roman"/>
                <w:color w:val="4472C4" w:themeColor="accent1"/>
              </w:rPr>
              <w:t>Italy</w:t>
            </w:r>
          </w:p>
        </w:tc>
        <w:tc>
          <w:tcPr>
            <w:tcW w:w="3255" w:type="dxa"/>
          </w:tcPr>
          <w:p w14:paraId="5BB8789C" w14:textId="73D93DDE" w:rsidR="004E2EEB" w:rsidRPr="00C27188" w:rsidRDefault="004E2EEB" w:rsidP="0015340E">
            <w:pPr>
              <w:rPr>
                <w:rFonts w:ascii="Times New Roman" w:hAnsi="Times New Roman" w:cs="Times New Roman"/>
                <w:color w:val="4472C4" w:themeColor="accent1"/>
              </w:rPr>
            </w:pPr>
            <w:r w:rsidRPr="00C27188">
              <w:rPr>
                <w:rFonts w:ascii="Times New Roman" w:hAnsi="Times New Roman" w:cs="Times New Roman"/>
                <w:color w:val="4472C4" w:themeColor="accent1"/>
              </w:rPr>
              <w:t>No</w:t>
            </w:r>
          </w:p>
          <w:p w14:paraId="70275678" w14:textId="77777777" w:rsidR="004E2EEB" w:rsidRPr="00C27188" w:rsidRDefault="004E2EEB" w:rsidP="0015340E">
            <w:pPr>
              <w:rPr>
                <w:rFonts w:ascii="Times New Roman" w:hAnsi="Times New Roman" w:cs="Times New Roman"/>
                <w:color w:val="4472C4" w:themeColor="accent1"/>
              </w:rPr>
            </w:pPr>
          </w:p>
          <w:p w14:paraId="19A3763D" w14:textId="50164816" w:rsidR="0015340E" w:rsidRPr="00C27188" w:rsidRDefault="004E2EEB" w:rsidP="0015340E">
            <w:pPr>
              <w:rPr>
                <w:rFonts w:ascii="Times New Roman" w:hAnsi="Times New Roman" w:cs="Times New Roman"/>
                <w:color w:val="4472C4" w:themeColor="accent1"/>
              </w:rPr>
            </w:pPr>
            <w:r w:rsidRPr="00C27188">
              <w:rPr>
                <w:rFonts w:ascii="Times New Roman" w:hAnsi="Times New Roman" w:cs="Times New Roman"/>
                <w:color w:val="4472C4" w:themeColor="accent1"/>
              </w:rPr>
              <w:t>The return was refused on the basis of Article 12(2) of the HC</w:t>
            </w:r>
          </w:p>
        </w:tc>
      </w:tr>
    </w:tbl>
    <w:p w14:paraId="51E2DB1D" w14:textId="20301EE3" w:rsidR="00EC7006" w:rsidRPr="00C27188" w:rsidRDefault="00EC7006" w:rsidP="00EC7006">
      <w:pPr>
        <w:ind w:left="360"/>
        <w:jc w:val="both"/>
        <w:rPr>
          <w:rFonts w:ascii="Times New Roman" w:hAnsi="Times New Roman" w:cs="Times New Roman"/>
          <w:sz w:val="24"/>
          <w:szCs w:val="24"/>
        </w:rPr>
      </w:pPr>
    </w:p>
    <w:p w14:paraId="24E78E7C" w14:textId="5B9A5B3F" w:rsidR="00CE308A" w:rsidRPr="00C27188" w:rsidRDefault="00AF4633" w:rsidP="00AF4633">
      <w:pPr>
        <w:jc w:val="both"/>
        <w:rPr>
          <w:rFonts w:ascii="Times New Roman" w:hAnsi="Times New Roman" w:cs="Times New Roman"/>
          <w:sz w:val="24"/>
          <w:szCs w:val="24"/>
        </w:rPr>
      </w:pPr>
      <w:r w:rsidRPr="00C27188">
        <w:rPr>
          <w:rFonts w:ascii="Times New Roman" w:hAnsi="Times New Roman" w:cs="Times New Roman"/>
          <w:color w:val="4472C4" w:themeColor="accent1"/>
          <w:sz w:val="24"/>
          <w:szCs w:val="24"/>
        </w:rPr>
        <w:t xml:space="preserve">As seen from the table above, only in one case “grave risk of harm” defence under Article 13(1)(b) was used successfully, though together with Article 12. I should note, however, that it is likely that the cases where “grave risk of harm” defence was successfully invoked, especially due to domestic violence, might be seen as more sensitive cases and this could lead to those cases being made not </w:t>
      </w:r>
      <w:r w:rsidR="00093BC7">
        <w:rPr>
          <w:rFonts w:ascii="Times New Roman" w:hAnsi="Times New Roman" w:cs="Times New Roman"/>
          <w:color w:val="4472C4" w:themeColor="accent1"/>
          <w:sz w:val="24"/>
          <w:szCs w:val="24"/>
        </w:rPr>
        <w:t xml:space="preserve">accessible to </w:t>
      </w:r>
      <w:r w:rsidRPr="00C27188">
        <w:rPr>
          <w:rFonts w:ascii="Times New Roman" w:hAnsi="Times New Roman" w:cs="Times New Roman"/>
          <w:color w:val="4472C4" w:themeColor="accent1"/>
          <w:sz w:val="24"/>
          <w:szCs w:val="24"/>
        </w:rPr>
        <w:t>public.</w:t>
      </w:r>
    </w:p>
    <w:p w14:paraId="08844A90" w14:textId="77777777" w:rsidR="00CE308A" w:rsidRPr="00C544E3" w:rsidRDefault="00CE308A" w:rsidP="00EC7006">
      <w:pPr>
        <w:ind w:left="360"/>
        <w:jc w:val="both"/>
        <w:rPr>
          <w:rFonts w:ascii="Times New Roman" w:hAnsi="Times New Roman" w:cs="Times New Roman"/>
        </w:rPr>
      </w:pPr>
    </w:p>
    <w:p w14:paraId="4BD0721D" w14:textId="0132531B" w:rsidR="00446EB7" w:rsidRPr="008F0987" w:rsidRDefault="00446EB7" w:rsidP="008A76E4">
      <w:pPr>
        <w:pStyle w:val="ListParagraph"/>
        <w:numPr>
          <w:ilvl w:val="0"/>
          <w:numId w:val="8"/>
        </w:numPr>
        <w:jc w:val="both"/>
        <w:rPr>
          <w:rFonts w:ascii="Times New Roman" w:hAnsi="Times New Roman" w:cs="Times New Roman"/>
          <w:color w:val="4472C4" w:themeColor="accent1"/>
        </w:rPr>
      </w:pPr>
      <w:r w:rsidRPr="002D57EF">
        <w:rPr>
          <w:rFonts w:ascii="Times New Roman" w:hAnsi="Times New Roman" w:cs="Times New Roman"/>
        </w:rPr>
        <w:t xml:space="preserve">How has </w:t>
      </w:r>
      <w:r w:rsidR="002B1625" w:rsidRPr="002D57EF">
        <w:rPr>
          <w:rFonts w:ascii="Times New Roman" w:hAnsi="Times New Roman" w:cs="Times New Roman"/>
        </w:rPr>
        <w:t xml:space="preserve">the </w:t>
      </w:r>
      <w:r w:rsidRPr="002D57EF">
        <w:rPr>
          <w:rFonts w:ascii="Times New Roman" w:hAnsi="Times New Roman" w:cs="Times New Roman"/>
        </w:rPr>
        <w:t xml:space="preserve">“grave risk of harm” </w:t>
      </w:r>
      <w:r w:rsidR="002B1625" w:rsidRPr="002D57EF">
        <w:rPr>
          <w:rFonts w:ascii="Times New Roman" w:hAnsi="Times New Roman" w:cs="Times New Roman"/>
        </w:rPr>
        <w:t xml:space="preserve">defence under Article 13(1)(b) </w:t>
      </w:r>
      <w:r w:rsidRPr="002D57EF">
        <w:rPr>
          <w:rFonts w:ascii="Times New Roman" w:hAnsi="Times New Roman" w:cs="Times New Roman"/>
        </w:rPr>
        <w:t>been interpreted by the courts of your jurisdiction?</w:t>
      </w:r>
      <w:r w:rsidR="00F77372" w:rsidRPr="002D57EF">
        <w:rPr>
          <w:rFonts w:ascii="Times New Roman" w:hAnsi="Times New Roman" w:cs="Times New Roman"/>
        </w:rPr>
        <w:t xml:space="preserve"> Are there any notable differences in your jurisdiction</w:t>
      </w:r>
      <w:r w:rsidR="0090675B" w:rsidRPr="002D57EF">
        <w:rPr>
          <w:rFonts w:ascii="Times New Roman" w:hAnsi="Times New Roman" w:cs="Times New Roman"/>
        </w:rPr>
        <w:t xml:space="preserve"> </w:t>
      </w:r>
      <w:r w:rsidR="00806199" w:rsidRPr="002D57EF">
        <w:rPr>
          <w:rFonts w:ascii="Times New Roman" w:hAnsi="Times New Roman" w:cs="Times New Roman"/>
        </w:rPr>
        <w:t xml:space="preserve">that you are aware of </w:t>
      </w:r>
      <w:r w:rsidR="0090675B" w:rsidRPr="002D57EF">
        <w:rPr>
          <w:rFonts w:ascii="Times New Roman" w:hAnsi="Times New Roman" w:cs="Times New Roman"/>
        </w:rPr>
        <w:t xml:space="preserve">as opposed to </w:t>
      </w:r>
      <w:r w:rsidR="00DE0A7A" w:rsidRPr="002D57EF">
        <w:rPr>
          <w:rFonts w:ascii="Times New Roman" w:hAnsi="Times New Roman" w:cs="Times New Roman"/>
        </w:rPr>
        <w:t>relevant case-law of the UK Supreme Court</w:t>
      </w:r>
      <w:r w:rsidR="003F0FED" w:rsidRPr="002D57EF">
        <w:rPr>
          <w:rStyle w:val="FootnoteReference"/>
          <w:rFonts w:ascii="Times New Roman" w:hAnsi="Times New Roman" w:cs="Times New Roman"/>
        </w:rPr>
        <w:footnoteReference w:id="9"/>
      </w:r>
      <w:r w:rsidR="00DE0A7A" w:rsidRPr="002D57EF">
        <w:rPr>
          <w:rFonts w:ascii="Times New Roman" w:hAnsi="Times New Roman" w:cs="Times New Roman"/>
        </w:rPr>
        <w:t xml:space="preserve"> and/or the European Court of Human Rights</w:t>
      </w:r>
      <w:r w:rsidR="00002E77" w:rsidRPr="002D57EF">
        <w:rPr>
          <w:rFonts w:ascii="Times New Roman" w:hAnsi="Times New Roman" w:cs="Times New Roman"/>
        </w:rPr>
        <w:t>?</w:t>
      </w:r>
      <w:r w:rsidR="00333568" w:rsidRPr="002D57EF">
        <w:rPr>
          <w:rStyle w:val="FootnoteReference"/>
          <w:rFonts w:ascii="Times New Roman" w:hAnsi="Times New Roman" w:cs="Times New Roman"/>
        </w:rPr>
        <w:footnoteReference w:id="10"/>
      </w:r>
    </w:p>
    <w:p w14:paraId="02AADDD2" w14:textId="5DB5C290" w:rsidR="00D31D1D" w:rsidRDefault="00D31D1D" w:rsidP="00D31D1D">
      <w:pPr>
        <w:pStyle w:val="ListParagraph"/>
        <w:jc w:val="both"/>
        <w:rPr>
          <w:rFonts w:ascii="Times New Roman" w:hAnsi="Times New Roman" w:cs="Times New Roman"/>
        </w:rPr>
      </w:pPr>
    </w:p>
    <w:p w14:paraId="15A408A9" w14:textId="6E35DAAD" w:rsidR="00D31D1D" w:rsidRPr="0052207F" w:rsidRDefault="00D31D1D" w:rsidP="00D31D1D">
      <w:pPr>
        <w:pStyle w:val="Normal1"/>
        <w:tabs>
          <w:tab w:val="left" w:pos="6379"/>
        </w:tabs>
        <w:spacing w:before="120" w:after="120" w:line="320" w:lineRule="exact"/>
        <w:jc w:val="both"/>
        <w:rPr>
          <w:rFonts w:ascii="Times New Roman" w:hAnsi="Times New Roman" w:cs="Times New Roman"/>
          <w:color w:val="4472C4" w:themeColor="accent1"/>
          <w:sz w:val="24"/>
          <w:szCs w:val="24"/>
        </w:rPr>
      </w:pPr>
      <w:r w:rsidRPr="00C27188">
        <w:rPr>
          <w:rFonts w:ascii="Times New Roman" w:hAnsi="Times New Roman" w:cs="Times New Roman"/>
          <w:color w:val="4472C4" w:themeColor="accent1"/>
          <w:sz w:val="24"/>
          <w:szCs w:val="24"/>
          <w:lang w:val="en-GB"/>
        </w:rPr>
        <w:t>The Supreme Court of Lithuania has provided a general definition of ‘</w:t>
      </w:r>
      <w:r w:rsidR="005F553D" w:rsidRPr="00C27188">
        <w:rPr>
          <w:rFonts w:ascii="Times New Roman" w:hAnsi="Times New Roman" w:cs="Times New Roman"/>
          <w:color w:val="4472C4" w:themeColor="accent1"/>
          <w:sz w:val="24"/>
          <w:szCs w:val="24"/>
        </w:rPr>
        <w:t>grave risk of harm</w:t>
      </w:r>
      <w:r w:rsidR="0052207F">
        <w:rPr>
          <w:rFonts w:ascii="Times New Roman" w:hAnsi="Times New Roman" w:cs="Times New Roman"/>
          <w:color w:val="4472C4" w:themeColor="accent1"/>
          <w:sz w:val="24"/>
          <w:szCs w:val="24"/>
        </w:rPr>
        <w:t>’</w:t>
      </w:r>
      <w:r w:rsidR="005F553D" w:rsidRPr="00C27188">
        <w:rPr>
          <w:rFonts w:ascii="Times New Roman" w:hAnsi="Times New Roman" w:cs="Times New Roman"/>
          <w:color w:val="4472C4" w:themeColor="accent1"/>
          <w:sz w:val="24"/>
          <w:szCs w:val="24"/>
        </w:rPr>
        <w:t xml:space="preserve"> exception</w:t>
      </w:r>
      <w:r w:rsidR="003903C0" w:rsidRPr="00C27188">
        <w:rPr>
          <w:rFonts w:ascii="Times New Roman" w:hAnsi="Times New Roman" w:cs="Times New Roman"/>
          <w:color w:val="4472C4" w:themeColor="accent1"/>
          <w:sz w:val="24"/>
          <w:szCs w:val="24"/>
          <w:lang w:val="en-GB"/>
        </w:rPr>
        <w:t>.</w:t>
      </w:r>
      <w:r w:rsidR="003903C0" w:rsidRPr="00C27188">
        <w:rPr>
          <w:rStyle w:val="FootnoteReference"/>
          <w:rFonts w:ascii="Times New Roman" w:hAnsi="Times New Roman" w:cs="Times New Roman"/>
          <w:color w:val="4472C4" w:themeColor="accent1"/>
          <w:sz w:val="24"/>
          <w:szCs w:val="24"/>
          <w:lang w:val="en-GB"/>
        </w:rPr>
        <w:footnoteReference w:id="11"/>
      </w:r>
      <w:r w:rsidRPr="00C27188">
        <w:rPr>
          <w:rFonts w:ascii="Times New Roman" w:hAnsi="Times New Roman" w:cs="Times New Roman"/>
          <w:color w:val="4472C4" w:themeColor="accent1"/>
          <w:sz w:val="24"/>
          <w:szCs w:val="24"/>
          <w:lang w:val="en-GB"/>
        </w:rPr>
        <w:t xml:space="preserve"> It</w:t>
      </w:r>
      <w:r w:rsidR="009A0731" w:rsidRPr="00C27188">
        <w:rPr>
          <w:rFonts w:ascii="Times New Roman" w:hAnsi="Times New Roman" w:cs="Times New Roman"/>
          <w:color w:val="4472C4" w:themeColor="accent1"/>
          <w:sz w:val="24"/>
          <w:szCs w:val="24"/>
          <w:lang w:val="en-GB"/>
        </w:rPr>
        <w:t xml:space="preserve"> ruled</w:t>
      </w:r>
      <w:r w:rsidRPr="00C27188">
        <w:rPr>
          <w:rFonts w:ascii="Times New Roman" w:hAnsi="Times New Roman" w:cs="Times New Roman"/>
          <w:color w:val="4472C4" w:themeColor="accent1"/>
          <w:sz w:val="24"/>
          <w:szCs w:val="24"/>
          <w:lang w:val="en-GB"/>
        </w:rPr>
        <w:t xml:space="preserve"> that the </w:t>
      </w:r>
      <w:r w:rsidR="0052207F">
        <w:rPr>
          <w:rFonts w:ascii="Times New Roman" w:hAnsi="Times New Roman" w:cs="Times New Roman"/>
          <w:color w:val="4472C4" w:themeColor="accent1"/>
          <w:sz w:val="24"/>
          <w:szCs w:val="24"/>
        </w:rPr>
        <w:t>‘</w:t>
      </w:r>
      <w:r w:rsidR="005F553D" w:rsidRPr="00C27188">
        <w:rPr>
          <w:rFonts w:ascii="Times New Roman" w:hAnsi="Times New Roman" w:cs="Times New Roman"/>
          <w:color w:val="4472C4" w:themeColor="accent1"/>
          <w:sz w:val="24"/>
          <w:szCs w:val="24"/>
        </w:rPr>
        <w:t>grave risk of harm</w:t>
      </w:r>
      <w:r w:rsidR="0052207F">
        <w:rPr>
          <w:rFonts w:ascii="Times New Roman" w:hAnsi="Times New Roman" w:cs="Times New Roman"/>
          <w:color w:val="4472C4" w:themeColor="accent1"/>
          <w:sz w:val="24"/>
          <w:szCs w:val="24"/>
        </w:rPr>
        <w:t>’</w:t>
      </w:r>
      <w:r w:rsidR="005F553D" w:rsidRPr="00C27188">
        <w:rPr>
          <w:rFonts w:ascii="Times New Roman" w:hAnsi="Times New Roman" w:cs="Times New Roman"/>
          <w:color w:val="4472C4" w:themeColor="accent1"/>
          <w:sz w:val="24"/>
          <w:szCs w:val="24"/>
        </w:rPr>
        <w:t xml:space="preserve"> </w:t>
      </w:r>
      <w:r w:rsidRPr="00C27188">
        <w:rPr>
          <w:rFonts w:ascii="Times New Roman" w:hAnsi="Times New Roman" w:cs="Times New Roman"/>
          <w:color w:val="4472C4" w:themeColor="accent1"/>
          <w:sz w:val="24"/>
          <w:szCs w:val="24"/>
          <w:lang w:val="en-GB"/>
        </w:rPr>
        <w:t>referred to in Article 13</w:t>
      </w:r>
      <w:r w:rsidR="005F553D" w:rsidRPr="00C27188">
        <w:rPr>
          <w:rFonts w:ascii="Times New Roman" w:hAnsi="Times New Roman" w:cs="Times New Roman"/>
          <w:color w:val="4472C4" w:themeColor="accent1"/>
          <w:sz w:val="24"/>
          <w:szCs w:val="24"/>
          <w:lang w:val="en-GB"/>
        </w:rPr>
        <w:t>(1)</w:t>
      </w:r>
      <w:r w:rsidRPr="00C27188">
        <w:rPr>
          <w:rFonts w:ascii="Times New Roman" w:hAnsi="Times New Roman" w:cs="Times New Roman"/>
          <w:color w:val="4472C4" w:themeColor="accent1"/>
          <w:sz w:val="24"/>
          <w:szCs w:val="24"/>
          <w:lang w:val="en-GB"/>
        </w:rPr>
        <w:t xml:space="preserve">(b) of the 1980 HC </w:t>
      </w:r>
      <w:r w:rsidR="00093BC7">
        <w:rPr>
          <w:rFonts w:ascii="Times New Roman" w:hAnsi="Times New Roman" w:cs="Times New Roman"/>
          <w:color w:val="4472C4" w:themeColor="accent1"/>
          <w:sz w:val="24"/>
          <w:szCs w:val="24"/>
          <w:lang w:val="en-GB"/>
        </w:rPr>
        <w:t>“</w:t>
      </w:r>
      <w:r w:rsidRPr="00C27188">
        <w:rPr>
          <w:rFonts w:ascii="Times New Roman" w:hAnsi="Times New Roman" w:cs="Times New Roman"/>
          <w:color w:val="4472C4" w:themeColor="accent1"/>
          <w:sz w:val="24"/>
          <w:szCs w:val="24"/>
          <w:lang w:val="en-GB"/>
        </w:rPr>
        <w:t xml:space="preserve">includes ultimate situations, where a child would not be able to develop normally in the Member State of origin due to the fact that the holder of parental rights and responsibilities </w:t>
      </w:r>
      <w:r w:rsidRPr="00C27188">
        <w:rPr>
          <w:rFonts w:ascii="Times New Roman" w:hAnsi="Times New Roman" w:cs="Times New Roman"/>
          <w:color w:val="4472C4" w:themeColor="accent1"/>
          <w:sz w:val="24"/>
          <w:szCs w:val="24"/>
          <w:lang w:val="en-GB"/>
        </w:rPr>
        <w:lastRenderedPageBreak/>
        <w:t xml:space="preserve">does not exercise or exercise inappropriately his/her rights and obligations, and there is a ground to believe that such behaviour would not change in the future (the persons acts inappropriately in the appearance of a child, abuses alcohol, uses drugs or psychotropic substances, etc.) or due to absence of objective conditions for </w:t>
      </w:r>
      <w:r w:rsidR="002D57EF" w:rsidRPr="00C27188">
        <w:rPr>
          <w:rFonts w:ascii="Times New Roman" w:hAnsi="Times New Roman" w:cs="Times New Roman"/>
          <w:color w:val="4472C4" w:themeColor="accent1"/>
          <w:sz w:val="24"/>
          <w:szCs w:val="24"/>
          <w:lang w:val="en-GB"/>
        </w:rPr>
        <w:t xml:space="preserve">the </w:t>
      </w:r>
      <w:r w:rsidRPr="00C27188">
        <w:rPr>
          <w:rFonts w:ascii="Times New Roman" w:hAnsi="Times New Roman" w:cs="Times New Roman"/>
          <w:color w:val="4472C4" w:themeColor="accent1"/>
          <w:sz w:val="24"/>
          <w:szCs w:val="24"/>
          <w:lang w:val="en-GB"/>
        </w:rPr>
        <w:t>development of a child in the Member State of origin (e.g. state of war)</w:t>
      </w:r>
      <w:r w:rsidR="00093BC7">
        <w:rPr>
          <w:rFonts w:ascii="Times New Roman" w:hAnsi="Times New Roman" w:cs="Times New Roman"/>
          <w:color w:val="4472C4" w:themeColor="accent1"/>
          <w:sz w:val="24"/>
          <w:szCs w:val="24"/>
          <w:lang w:val="en-GB"/>
        </w:rPr>
        <w:t>”</w:t>
      </w:r>
      <w:r w:rsidRPr="00C27188">
        <w:rPr>
          <w:rFonts w:ascii="Times New Roman" w:hAnsi="Times New Roman" w:cs="Times New Roman"/>
          <w:color w:val="4472C4" w:themeColor="accent1"/>
          <w:sz w:val="24"/>
          <w:szCs w:val="24"/>
          <w:lang w:val="en-GB"/>
        </w:rPr>
        <w:t xml:space="preserve">. </w:t>
      </w:r>
      <w:r w:rsidR="002D57EF" w:rsidRPr="00C27188">
        <w:rPr>
          <w:rFonts w:ascii="Times New Roman" w:hAnsi="Times New Roman" w:cs="Times New Roman"/>
          <w:color w:val="4472C4" w:themeColor="accent1"/>
          <w:sz w:val="24"/>
          <w:szCs w:val="24"/>
          <w:lang w:val="en-GB"/>
        </w:rPr>
        <w:t xml:space="preserve">This definition is </w:t>
      </w:r>
      <w:r w:rsidR="005F553D" w:rsidRPr="00C27188">
        <w:rPr>
          <w:rFonts w:ascii="Times New Roman" w:hAnsi="Times New Roman" w:cs="Times New Roman"/>
          <w:color w:val="4472C4" w:themeColor="accent1"/>
          <w:sz w:val="24"/>
          <w:szCs w:val="24"/>
          <w:lang w:val="en-GB"/>
        </w:rPr>
        <w:t>a</w:t>
      </w:r>
      <w:r w:rsidR="002D57EF" w:rsidRPr="00C27188">
        <w:rPr>
          <w:rFonts w:ascii="Times New Roman" w:hAnsi="Times New Roman" w:cs="Times New Roman"/>
          <w:color w:val="4472C4" w:themeColor="accent1"/>
          <w:sz w:val="24"/>
          <w:szCs w:val="24"/>
          <w:lang w:val="en-GB"/>
        </w:rPr>
        <w:t xml:space="preserve"> well-established case law and is often cited in court</w:t>
      </w:r>
      <w:r w:rsidR="00093BC7">
        <w:rPr>
          <w:rFonts w:ascii="Times New Roman" w:hAnsi="Times New Roman" w:cs="Times New Roman"/>
          <w:color w:val="4472C4" w:themeColor="accent1"/>
          <w:sz w:val="24"/>
          <w:szCs w:val="24"/>
          <w:lang w:val="en-GB"/>
        </w:rPr>
        <w:t>s’</w:t>
      </w:r>
      <w:r w:rsidR="002D57EF" w:rsidRPr="00C27188">
        <w:rPr>
          <w:rFonts w:ascii="Times New Roman" w:hAnsi="Times New Roman" w:cs="Times New Roman"/>
          <w:color w:val="4472C4" w:themeColor="accent1"/>
          <w:sz w:val="24"/>
          <w:szCs w:val="24"/>
          <w:lang w:val="en-GB"/>
        </w:rPr>
        <w:t xml:space="preserve"> decisions.</w:t>
      </w:r>
    </w:p>
    <w:p w14:paraId="542ADFDB" w14:textId="0919569E" w:rsidR="009A0731" w:rsidRPr="00C27188" w:rsidRDefault="008D2D4E" w:rsidP="009A0731">
      <w:pPr>
        <w:pStyle w:val="Normal1"/>
        <w:tabs>
          <w:tab w:val="left" w:pos="6379"/>
        </w:tabs>
        <w:spacing w:before="120" w:after="120" w:line="320" w:lineRule="exact"/>
        <w:jc w:val="both"/>
        <w:rPr>
          <w:rFonts w:ascii="Times New Roman" w:hAnsi="Times New Roman" w:cs="Times New Roman"/>
          <w:color w:val="4472C4" w:themeColor="accent1"/>
          <w:sz w:val="24"/>
          <w:szCs w:val="24"/>
          <w:lang w:val="en-GB"/>
        </w:rPr>
      </w:pPr>
      <w:r w:rsidRPr="00C27188">
        <w:rPr>
          <w:rFonts w:ascii="Times New Roman" w:hAnsi="Times New Roman" w:cs="Times New Roman"/>
          <w:color w:val="4472C4" w:themeColor="accent1"/>
          <w:sz w:val="24"/>
          <w:szCs w:val="24"/>
          <w:lang w:val="en-GB"/>
        </w:rPr>
        <w:t xml:space="preserve">In Lithuania, the </w:t>
      </w:r>
      <w:r w:rsidR="004E331B">
        <w:rPr>
          <w:rFonts w:ascii="Times New Roman" w:hAnsi="Times New Roman" w:cs="Times New Roman"/>
          <w:color w:val="4472C4" w:themeColor="accent1"/>
          <w:sz w:val="24"/>
          <w:szCs w:val="24"/>
        </w:rPr>
        <w:t>‘</w:t>
      </w:r>
      <w:r w:rsidR="005F553D" w:rsidRPr="00C27188">
        <w:rPr>
          <w:rFonts w:ascii="Times New Roman" w:hAnsi="Times New Roman" w:cs="Times New Roman"/>
          <w:color w:val="4472C4" w:themeColor="accent1"/>
          <w:sz w:val="24"/>
          <w:szCs w:val="24"/>
        </w:rPr>
        <w:t>grave risk of harm</w:t>
      </w:r>
      <w:r w:rsidR="004E331B">
        <w:rPr>
          <w:rFonts w:ascii="Times New Roman" w:hAnsi="Times New Roman" w:cs="Times New Roman"/>
          <w:color w:val="4472C4" w:themeColor="accent1"/>
          <w:sz w:val="24"/>
          <w:szCs w:val="24"/>
        </w:rPr>
        <w:t>’</w:t>
      </w:r>
      <w:r w:rsidR="005F553D" w:rsidRPr="00C27188">
        <w:rPr>
          <w:rFonts w:ascii="Times New Roman" w:hAnsi="Times New Roman" w:cs="Times New Roman"/>
          <w:color w:val="4472C4" w:themeColor="accent1"/>
          <w:sz w:val="24"/>
          <w:szCs w:val="24"/>
        </w:rPr>
        <w:t xml:space="preserve"> defence </w:t>
      </w:r>
      <w:r w:rsidR="002D57EF" w:rsidRPr="00C27188">
        <w:rPr>
          <w:rFonts w:ascii="Times New Roman" w:hAnsi="Times New Roman" w:cs="Times New Roman"/>
          <w:color w:val="4472C4" w:themeColor="accent1"/>
          <w:sz w:val="24"/>
          <w:szCs w:val="24"/>
          <w:lang w:val="en-GB"/>
        </w:rPr>
        <w:t>wa</w:t>
      </w:r>
      <w:r w:rsidRPr="00C27188">
        <w:rPr>
          <w:rFonts w:ascii="Times New Roman" w:hAnsi="Times New Roman" w:cs="Times New Roman"/>
          <w:color w:val="4472C4" w:themeColor="accent1"/>
          <w:sz w:val="24"/>
          <w:szCs w:val="24"/>
          <w:lang w:val="en-GB"/>
        </w:rPr>
        <w:t>s commonly invoked in cases where domestic violence was at issue</w:t>
      </w:r>
      <w:r w:rsidR="002D57EF" w:rsidRPr="00C27188">
        <w:rPr>
          <w:rFonts w:ascii="Times New Roman" w:hAnsi="Times New Roman" w:cs="Times New Roman"/>
          <w:color w:val="4472C4" w:themeColor="accent1"/>
          <w:sz w:val="24"/>
          <w:szCs w:val="24"/>
          <w:lang w:val="en-GB"/>
        </w:rPr>
        <w:t xml:space="preserve">, or a small child might </w:t>
      </w:r>
      <w:r w:rsidR="005F553D" w:rsidRPr="00C27188">
        <w:rPr>
          <w:rFonts w:ascii="Times New Roman" w:hAnsi="Times New Roman" w:cs="Times New Roman"/>
          <w:color w:val="4472C4" w:themeColor="accent1"/>
          <w:sz w:val="24"/>
          <w:szCs w:val="24"/>
          <w:lang w:val="en-GB"/>
        </w:rPr>
        <w:t xml:space="preserve">have </w:t>
      </w:r>
      <w:r w:rsidR="002D57EF" w:rsidRPr="00C27188">
        <w:rPr>
          <w:rFonts w:ascii="Times New Roman" w:hAnsi="Times New Roman" w:cs="Times New Roman"/>
          <w:color w:val="4472C4" w:themeColor="accent1"/>
          <w:sz w:val="24"/>
          <w:szCs w:val="24"/>
          <w:lang w:val="en-GB"/>
        </w:rPr>
        <w:t>be</w:t>
      </w:r>
      <w:r w:rsidR="005F553D" w:rsidRPr="00C27188">
        <w:rPr>
          <w:rFonts w:ascii="Times New Roman" w:hAnsi="Times New Roman" w:cs="Times New Roman"/>
          <w:color w:val="4472C4" w:themeColor="accent1"/>
          <w:sz w:val="24"/>
          <w:szCs w:val="24"/>
          <w:lang w:val="en-GB"/>
        </w:rPr>
        <w:t>en</w:t>
      </w:r>
      <w:r w:rsidR="002D57EF" w:rsidRPr="00C27188">
        <w:rPr>
          <w:rFonts w:ascii="Times New Roman" w:hAnsi="Times New Roman" w:cs="Times New Roman"/>
          <w:color w:val="4472C4" w:themeColor="accent1"/>
          <w:sz w:val="24"/>
          <w:szCs w:val="24"/>
          <w:lang w:val="en-GB"/>
        </w:rPr>
        <w:t xml:space="preserve"> separated from his/her mother due to the return</w:t>
      </w:r>
      <w:r w:rsidRPr="00C27188">
        <w:rPr>
          <w:rFonts w:ascii="Times New Roman" w:hAnsi="Times New Roman" w:cs="Times New Roman"/>
          <w:color w:val="4472C4" w:themeColor="accent1"/>
          <w:sz w:val="24"/>
          <w:szCs w:val="24"/>
          <w:lang w:val="en-GB"/>
        </w:rPr>
        <w:t xml:space="preserve">. </w:t>
      </w:r>
      <w:r w:rsidR="009A0731" w:rsidRPr="00C27188">
        <w:rPr>
          <w:rFonts w:ascii="Times New Roman" w:hAnsi="Times New Roman" w:cs="Times New Roman"/>
          <w:color w:val="4472C4" w:themeColor="accent1"/>
          <w:sz w:val="24"/>
          <w:szCs w:val="24"/>
          <w:lang w:val="en-GB"/>
        </w:rPr>
        <w:t>For instance, in a</w:t>
      </w:r>
      <w:r w:rsidR="004E331B">
        <w:rPr>
          <w:rFonts w:ascii="Times New Roman" w:hAnsi="Times New Roman" w:cs="Times New Roman"/>
          <w:color w:val="4472C4" w:themeColor="accent1"/>
          <w:sz w:val="24"/>
          <w:szCs w:val="24"/>
          <w:lang w:val="en-GB"/>
        </w:rPr>
        <w:t>n earlier</w:t>
      </w:r>
      <w:r w:rsidR="009A0731" w:rsidRPr="00C27188">
        <w:rPr>
          <w:rFonts w:ascii="Times New Roman" w:hAnsi="Times New Roman" w:cs="Times New Roman"/>
          <w:color w:val="4472C4" w:themeColor="accent1"/>
          <w:sz w:val="24"/>
          <w:szCs w:val="24"/>
          <w:lang w:val="en-GB"/>
        </w:rPr>
        <w:t xml:space="preserve"> case before the Court of Appeal of Lithuania, there was no doubt that the mother </w:t>
      </w:r>
      <w:r w:rsidR="004E331B">
        <w:rPr>
          <w:rFonts w:ascii="Times New Roman" w:hAnsi="Times New Roman" w:cs="Times New Roman"/>
          <w:color w:val="4472C4" w:themeColor="accent1"/>
          <w:sz w:val="24"/>
          <w:szCs w:val="24"/>
          <w:lang w:val="en-GB"/>
        </w:rPr>
        <w:t>had</w:t>
      </w:r>
      <w:r w:rsidR="009A0731" w:rsidRPr="00C27188">
        <w:rPr>
          <w:rFonts w:ascii="Times New Roman" w:hAnsi="Times New Roman" w:cs="Times New Roman"/>
          <w:color w:val="4472C4" w:themeColor="accent1"/>
          <w:sz w:val="24"/>
          <w:szCs w:val="24"/>
          <w:lang w:val="en-GB"/>
        </w:rPr>
        <w:t xml:space="preserve"> indeed abducted the child from the UK, where the family used to live, to Lithuania, her </w:t>
      </w:r>
      <w:r w:rsidR="002D57EF" w:rsidRPr="00C27188">
        <w:rPr>
          <w:rFonts w:ascii="Times New Roman" w:hAnsi="Times New Roman" w:cs="Times New Roman"/>
          <w:color w:val="4472C4" w:themeColor="accent1"/>
          <w:sz w:val="24"/>
          <w:szCs w:val="24"/>
          <w:lang w:val="en-GB"/>
        </w:rPr>
        <w:t>s</w:t>
      </w:r>
      <w:r w:rsidR="009A0731" w:rsidRPr="00C27188">
        <w:rPr>
          <w:rFonts w:ascii="Times New Roman" w:hAnsi="Times New Roman" w:cs="Times New Roman"/>
          <w:color w:val="4472C4" w:themeColor="accent1"/>
          <w:sz w:val="24"/>
          <w:szCs w:val="24"/>
          <w:lang w:val="en-GB"/>
        </w:rPr>
        <w:t>tate of origin. However, the mother proved that the father of the child was violent towards her and other persons, often in front of the child, and his actions were hard to foresee. The court ruled that there was a grave risk of physical or psychological harm.</w:t>
      </w:r>
      <w:r w:rsidR="003903C0" w:rsidRPr="00C27188">
        <w:rPr>
          <w:rStyle w:val="FootnoteReference"/>
          <w:rFonts w:ascii="Times New Roman" w:hAnsi="Times New Roman" w:cs="Times New Roman"/>
          <w:color w:val="4472C4" w:themeColor="accent1"/>
          <w:sz w:val="24"/>
          <w:szCs w:val="24"/>
          <w:lang w:val="en-GB"/>
        </w:rPr>
        <w:footnoteReference w:id="12"/>
      </w:r>
    </w:p>
    <w:p w14:paraId="502C5BD2" w14:textId="7BCD648C" w:rsidR="008D2D4E" w:rsidRPr="00C27188" w:rsidRDefault="008D2D4E" w:rsidP="009A0731">
      <w:pPr>
        <w:pStyle w:val="Normal1"/>
        <w:tabs>
          <w:tab w:val="left" w:pos="6379"/>
        </w:tabs>
        <w:spacing w:before="120" w:after="120" w:line="320" w:lineRule="exact"/>
        <w:jc w:val="both"/>
        <w:rPr>
          <w:rFonts w:ascii="Times New Roman" w:hAnsi="Times New Roman" w:cs="Times New Roman"/>
          <w:color w:val="4472C4" w:themeColor="accent1"/>
          <w:sz w:val="24"/>
          <w:szCs w:val="24"/>
          <w:lang w:val="en-GB"/>
        </w:rPr>
      </w:pPr>
      <w:r w:rsidRPr="00C27188">
        <w:rPr>
          <w:rFonts w:ascii="Times New Roman" w:hAnsi="Times New Roman" w:cs="Times New Roman"/>
          <w:color w:val="4472C4" w:themeColor="accent1"/>
          <w:sz w:val="24"/>
          <w:szCs w:val="24"/>
          <w:lang w:val="en-GB"/>
        </w:rPr>
        <w:t>In a recent case</w:t>
      </w:r>
      <w:r w:rsidR="003903C0" w:rsidRPr="00C27188">
        <w:rPr>
          <w:rStyle w:val="FootnoteReference"/>
          <w:rFonts w:ascii="Times New Roman" w:hAnsi="Times New Roman" w:cs="Times New Roman"/>
          <w:color w:val="4472C4" w:themeColor="accent1"/>
          <w:sz w:val="24"/>
          <w:szCs w:val="24"/>
          <w:lang w:val="en-GB"/>
        </w:rPr>
        <w:footnoteReference w:id="13"/>
      </w:r>
      <w:r w:rsidRPr="00C27188">
        <w:rPr>
          <w:rFonts w:ascii="Times New Roman" w:hAnsi="Times New Roman" w:cs="Times New Roman"/>
          <w:color w:val="4472C4" w:themeColor="accent1"/>
          <w:sz w:val="24"/>
          <w:szCs w:val="24"/>
          <w:lang w:val="en-GB"/>
        </w:rPr>
        <w:t xml:space="preserve">, in addition to domestic violence, the negative consequences of </w:t>
      </w:r>
      <w:r w:rsidR="004E331B">
        <w:rPr>
          <w:rFonts w:ascii="Times New Roman" w:hAnsi="Times New Roman" w:cs="Times New Roman"/>
          <w:color w:val="4472C4" w:themeColor="accent1"/>
          <w:sz w:val="24"/>
          <w:szCs w:val="24"/>
          <w:lang w:val="en-GB"/>
        </w:rPr>
        <w:t xml:space="preserve">the </w:t>
      </w:r>
      <w:r w:rsidRPr="00C27188">
        <w:rPr>
          <w:rFonts w:ascii="Times New Roman" w:hAnsi="Times New Roman" w:cs="Times New Roman"/>
          <w:color w:val="4472C4" w:themeColor="accent1"/>
          <w:sz w:val="24"/>
          <w:szCs w:val="24"/>
          <w:lang w:val="en-GB"/>
        </w:rPr>
        <w:t xml:space="preserve">separation of </w:t>
      </w:r>
      <w:r w:rsidR="008F0987" w:rsidRPr="00C27188">
        <w:rPr>
          <w:rFonts w:ascii="Times New Roman" w:hAnsi="Times New Roman" w:cs="Times New Roman"/>
          <w:color w:val="4472C4" w:themeColor="accent1"/>
          <w:sz w:val="24"/>
          <w:szCs w:val="24"/>
          <w:lang w:val="en-GB"/>
        </w:rPr>
        <w:t>a small</w:t>
      </w:r>
      <w:r w:rsidRPr="00C27188">
        <w:rPr>
          <w:rFonts w:ascii="Times New Roman" w:hAnsi="Times New Roman" w:cs="Times New Roman"/>
          <w:color w:val="4472C4" w:themeColor="accent1"/>
          <w:sz w:val="24"/>
          <w:szCs w:val="24"/>
          <w:lang w:val="en-GB"/>
        </w:rPr>
        <w:t xml:space="preserve"> child from the mother were noted. The couple (not married) lived in the UK with their newborn son. When the baby was one month old, after an incident of domestic violence in November 2020 (registered with the police), the mother moved out and lived at her friend's house. In July 2021, the father with the mother and the child went to Lithuania, and the mother with the child did not return to live in the UK. The </w:t>
      </w:r>
      <w:r w:rsidR="005F553D" w:rsidRPr="00C27188">
        <w:rPr>
          <w:rFonts w:ascii="Times New Roman" w:hAnsi="Times New Roman" w:cs="Times New Roman"/>
          <w:color w:val="4472C4" w:themeColor="accent1"/>
          <w:sz w:val="24"/>
          <w:szCs w:val="24"/>
          <w:lang w:val="en-GB"/>
        </w:rPr>
        <w:t xml:space="preserve">court of </w:t>
      </w:r>
      <w:r w:rsidR="004E331B">
        <w:rPr>
          <w:rFonts w:ascii="Times New Roman" w:hAnsi="Times New Roman" w:cs="Times New Roman"/>
          <w:color w:val="4472C4" w:themeColor="accent1"/>
          <w:sz w:val="24"/>
          <w:szCs w:val="24"/>
          <w:lang w:val="en-GB"/>
        </w:rPr>
        <w:t xml:space="preserve">the </w:t>
      </w:r>
      <w:r w:rsidRPr="00C27188">
        <w:rPr>
          <w:rFonts w:ascii="Times New Roman" w:hAnsi="Times New Roman" w:cs="Times New Roman"/>
          <w:color w:val="4472C4" w:themeColor="accent1"/>
          <w:sz w:val="24"/>
          <w:szCs w:val="24"/>
          <w:lang w:val="en-GB"/>
        </w:rPr>
        <w:t>first instance ruled that no abduction took place as the child was very small and had his registered residence in Lithuania. On appeal, the court confirmed that</w:t>
      </w:r>
      <w:r w:rsidR="005F553D" w:rsidRPr="00C27188">
        <w:rPr>
          <w:rFonts w:ascii="Times New Roman" w:hAnsi="Times New Roman" w:cs="Times New Roman"/>
          <w:color w:val="4472C4" w:themeColor="accent1"/>
          <w:sz w:val="24"/>
          <w:szCs w:val="24"/>
          <w:lang w:val="en-GB"/>
        </w:rPr>
        <w:t xml:space="preserve"> the</w:t>
      </w:r>
      <w:r w:rsidRPr="00C27188">
        <w:rPr>
          <w:rFonts w:ascii="Times New Roman" w:hAnsi="Times New Roman" w:cs="Times New Roman"/>
          <w:color w:val="4472C4" w:themeColor="accent1"/>
          <w:sz w:val="24"/>
          <w:szCs w:val="24"/>
          <w:lang w:val="en-GB"/>
        </w:rPr>
        <w:t xml:space="preserve"> child abduction took place. However, the court noted that the child only had lived in the UK for the first 9 months of his life. The court considered that there is insufficient reason to conclude that a child of 9 months of age perceived his normal living environment as living in the UK, since a child of that age does not normally have strong social ties linked to a specific place of residence and is primarily concerned with his immediate family, who provide him with the necessary daily needs and a sense of physical and emotional security. According to the evidence, the minor child of the parties has been mainly cared for by his mother since his birth and </w:t>
      </w:r>
      <w:r w:rsidR="004E331B">
        <w:rPr>
          <w:rFonts w:ascii="Times New Roman" w:hAnsi="Times New Roman" w:cs="Times New Roman"/>
          <w:color w:val="4472C4" w:themeColor="accent1"/>
          <w:sz w:val="24"/>
          <w:szCs w:val="24"/>
          <w:lang w:val="en-GB"/>
        </w:rPr>
        <w:t xml:space="preserve">has </w:t>
      </w:r>
      <w:r w:rsidRPr="00C27188">
        <w:rPr>
          <w:rFonts w:ascii="Times New Roman" w:hAnsi="Times New Roman" w:cs="Times New Roman"/>
          <w:color w:val="4472C4" w:themeColor="accent1"/>
          <w:sz w:val="24"/>
          <w:szCs w:val="24"/>
          <w:lang w:val="en-GB"/>
        </w:rPr>
        <w:t>ha</w:t>
      </w:r>
      <w:r w:rsidR="005F553D" w:rsidRPr="00C27188">
        <w:rPr>
          <w:rFonts w:ascii="Times New Roman" w:hAnsi="Times New Roman" w:cs="Times New Roman"/>
          <w:color w:val="4472C4" w:themeColor="accent1"/>
          <w:sz w:val="24"/>
          <w:szCs w:val="24"/>
          <w:lang w:val="en-GB"/>
        </w:rPr>
        <w:t>d</w:t>
      </w:r>
      <w:r w:rsidRPr="00C27188">
        <w:rPr>
          <w:rFonts w:ascii="Times New Roman" w:hAnsi="Times New Roman" w:cs="Times New Roman"/>
          <w:color w:val="4472C4" w:themeColor="accent1"/>
          <w:sz w:val="24"/>
          <w:szCs w:val="24"/>
          <w:lang w:val="en-GB"/>
        </w:rPr>
        <w:t xml:space="preserve"> a very strong emotional bond with her. In these circumstances, </w:t>
      </w:r>
      <w:r w:rsidR="005F553D" w:rsidRPr="00C27188">
        <w:rPr>
          <w:rFonts w:ascii="Times New Roman" w:hAnsi="Times New Roman" w:cs="Times New Roman"/>
          <w:color w:val="4472C4" w:themeColor="accent1"/>
          <w:sz w:val="24"/>
          <w:szCs w:val="24"/>
          <w:lang w:val="en-GB"/>
        </w:rPr>
        <w:t xml:space="preserve">stated the court, </w:t>
      </w:r>
      <w:r w:rsidRPr="00C27188">
        <w:rPr>
          <w:rFonts w:ascii="Times New Roman" w:hAnsi="Times New Roman" w:cs="Times New Roman"/>
          <w:color w:val="4472C4" w:themeColor="accent1"/>
          <w:sz w:val="24"/>
          <w:szCs w:val="24"/>
          <w:lang w:val="en-GB"/>
        </w:rPr>
        <w:t>the return of the child to the UK would only be possible with the mother (</w:t>
      </w:r>
      <w:r w:rsidR="005F553D" w:rsidRPr="00C27188">
        <w:rPr>
          <w:rFonts w:ascii="Times New Roman" w:hAnsi="Times New Roman" w:cs="Times New Roman"/>
          <w:color w:val="4472C4" w:themeColor="accent1"/>
          <w:sz w:val="24"/>
          <w:szCs w:val="24"/>
          <w:lang w:val="en-GB"/>
        </w:rPr>
        <w:t>and</w:t>
      </w:r>
      <w:r w:rsidR="004E331B">
        <w:rPr>
          <w:rFonts w:ascii="Times New Roman" w:hAnsi="Times New Roman" w:cs="Times New Roman"/>
          <w:color w:val="4472C4" w:themeColor="accent1"/>
          <w:sz w:val="24"/>
          <w:szCs w:val="24"/>
          <w:lang w:val="en-GB"/>
        </w:rPr>
        <w:t>, as a result, with</w:t>
      </w:r>
      <w:r w:rsidRPr="00C27188">
        <w:rPr>
          <w:rFonts w:ascii="Times New Roman" w:hAnsi="Times New Roman" w:cs="Times New Roman"/>
          <w:color w:val="4472C4" w:themeColor="accent1"/>
          <w:sz w:val="24"/>
          <w:szCs w:val="24"/>
          <w:lang w:val="en-GB"/>
        </w:rPr>
        <w:t xml:space="preserve"> </w:t>
      </w:r>
      <w:r w:rsidR="00B24C2F">
        <w:rPr>
          <w:rFonts w:ascii="Times New Roman" w:hAnsi="Times New Roman" w:cs="Times New Roman"/>
          <w:color w:val="4472C4" w:themeColor="accent1"/>
          <w:sz w:val="24"/>
          <w:szCs w:val="24"/>
          <w:lang w:val="en-GB"/>
        </w:rPr>
        <w:t>her</w:t>
      </w:r>
      <w:r w:rsidRPr="00C27188">
        <w:rPr>
          <w:rFonts w:ascii="Times New Roman" w:hAnsi="Times New Roman" w:cs="Times New Roman"/>
          <w:color w:val="4472C4" w:themeColor="accent1"/>
          <w:sz w:val="24"/>
          <w:szCs w:val="24"/>
          <w:lang w:val="en-GB"/>
        </w:rPr>
        <w:t xml:space="preserve"> other two minor sons</w:t>
      </w:r>
      <w:r w:rsidR="005F553D" w:rsidRPr="00C27188">
        <w:rPr>
          <w:rFonts w:ascii="Times New Roman" w:hAnsi="Times New Roman" w:cs="Times New Roman"/>
          <w:color w:val="4472C4" w:themeColor="accent1"/>
          <w:sz w:val="24"/>
          <w:szCs w:val="24"/>
          <w:lang w:val="en-GB"/>
        </w:rPr>
        <w:t xml:space="preserve"> </w:t>
      </w:r>
      <w:r w:rsidR="00B24C2F">
        <w:rPr>
          <w:rFonts w:ascii="Times New Roman" w:hAnsi="Times New Roman" w:cs="Times New Roman"/>
          <w:color w:val="4472C4" w:themeColor="accent1"/>
          <w:sz w:val="24"/>
          <w:szCs w:val="24"/>
          <w:lang w:val="en-GB"/>
        </w:rPr>
        <w:t>from</w:t>
      </w:r>
      <w:r w:rsidR="005F553D" w:rsidRPr="00C27188">
        <w:rPr>
          <w:rFonts w:ascii="Times New Roman" w:hAnsi="Times New Roman" w:cs="Times New Roman"/>
          <w:color w:val="4472C4" w:themeColor="accent1"/>
          <w:sz w:val="24"/>
          <w:szCs w:val="24"/>
          <w:lang w:val="en-GB"/>
        </w:rPr>
        <w:t xml:space="preserve"> her</w:t>
      </w:r>
      <w:r w:rsidR="004E331B">
        <w:rPr>
          <w:rFonts w:ascii="Times New Roman" w:hAnsi="Times New Roman" w:cs="Times New Roman"/>
          <w:color w:val="4472C4" w:themeColor="accent1"/>
          <w:sz w:val="24"/>
          <w:szCs w:val="24"/>
          <w:lang w:val="en-GB"/>
        </w:rPr>
        <w:t xml:space="preserve"> previous relationship</w:t>
      </w:r>
      <w:r w:rsidRPr="00C27188">
        <w:rPr>
          <w:rFonts w:ascii="Times New Roman" w:hAnsi="Times New Roman" w:cs="Times New Roman"/>
          <w:color w:val="4472C4" w:themeColor="accent1"/>
          <w:sz w:val="24"/>
          <w:szCs w:val="24"/>
          <w:lang w:val="en-GB"/>
        </w:rPr>
        <w:t>). There was no evidence in the case to suggest that the mother would be in a position to provide the necessary living conditions for herself and her minor children if she were to return to the UK with the three children</w:t>
      </w:r>
      <w:r w:rsidR="004E331B">
        <w:rPr>
          <w:rFonts w:ascii="Times New Roman" w:hAnsi="Times New Roman" w:cs="Times New Roman"/>
          <w:color w:val="4472C4" w:themeColor="accent1"/>
          <w:sz w:val="24"/>
          <w:szCs w:val="24"/>
          <w:lang w:val="en-GB"/>
        </w:rPr>
        <w:t xml:space="preserve"> (there is no detailed analysis as to this in the judgement)</w:t>
      </w:r>
      <w:r w:rsidRPr="00C27188">
        <w:rPr>
          <w:rFonts w:ascii="Times New Roman" w:hAnsi="Times New Roman" w:cs="Times New Roman"/>
          <w:color w:val="4472C4" w:themeColor="accent1"/>
          <w:sz w:val="24"/>
          <w:szCs w:val="24"/>
          <w:lang w:val="en-GB"/>
        </w:rPr>
        <w:t>. Moreover, when the parents lived in the UK, there were pre-trial investigations initiated for assault, bodily harm, violent behaviour, harassment, etc. The decision to refuse the return was adopted</w:t>
      </w:r>
      <w:r w:rsidR="008F0987" w:rsidRPr="00C27188">
        <w:rPr>
          <w:rFonts w:ascii="Times New Roman" w:hAnsi="Times New Roman" w:cs="Times New Roman"/>
          <w:color w:val="4472C4" w:themeColor="accent1"/>
          <w:sz w:val="24"/>
          <w:szCs w:val="24"/>
          <w:lang w:val="en-GB"/>
        </w:rPr>
        <w:t>, it was based on Article 12 and Article 13(1)b of the Hague Convention</w:t>
      </w:r>
      <w:r w:rsidRPr="00C27188">
        <w:rPr>
          <w:rFonts w:ascii="Times New Roman" w:hAnsi="Times New Roman" w:cs="Times New Roman"/>
          <w:color w:val="4472C4" w:themeColor="accent1"/>
          <w:sz w:val="24"/>
          <w:szCs w:val="24"/>
          <w:lang w:val="en-GB"/>
        </w:rPr>
        <w:t>.</w:t>
      </w:r>
    </w:p>
    <w:p w14:paraId="20F5ED79" w14:textId="2DA19ACD" w:rsidR="00D31D1D" w:rsidRPr="00C27188" w:rsidRDefault="008F0987" w:rsidP="003903C0">
      <w:pPr>
        <w:pStyle w:val="Normal1"/>
        <w:tabs>
          <w:tab w:val="left" w:pos="6379"/>
        </w:tabs>
        <w:spacing w:before="120" w:after="120" w:line="320" w:lineRule="exact"/>
        <w:jc w:val="both"/>
        <w:rPr>
          <w:rFonts w:ascii="Times New Roman" w:hAnsi="Times New Roman" w:cs="Times New Roman"/>
          <w:color w:val="4472C4" w:themeColor="accent1"/>
          <w:sz w:val="24"/>
          <w:szCs w:val="24"/>
          <w:lang w:val="en-GB"/>
        </w:rPr>
      </w:pPr>
      <w:r w:rsidRPr="00C27188">
        <w:rPr>
          <w:rFonts w:ascii="Times New Roman" w:hAnsi="Times New Roman" w:cs="Times New Roman"/>
          <w:color w:val="4472C4" w:themeColor="accent1"/>
          <w:sz w:val="24"/>
          <w:szCs w:val="24"/>
          <w:lang w:val="en-GB"/>
        </w:rPr>
        <w:t xml:space="preserve">In another </w:t>
      </w:r>
      <w:r w:rsidR="003903C0" w:rsidRPr="00C27188">
        <w:rPr>
          <w:rFonts w:ascii="Times New Roman" w:hAnsi="Times New Roman" w:cs="Times New Roman"/>
          <w:color w:val="4472C4" w:themeColor="accent1"/>
          <w:sz w:val="24"/>
          <w:szCs w:val="24"/>
          <w:lang w:val="en-GB"/>
        </w:rPr>
        <w:t xml:space="preserve">interesting </w:t>
      </w:r>
      <w:r w:rsidRPr="00C27188">
        <w:rPr>
          <w:rFonts w:ascii="Times New Roman" w:hAnsi="Times New Roman" w:cs="Times New Roman"/>
          <w:color w:val="4472C4" w:themeColor="accent1"/>
          <w:sz w:val="24"/>
          <w:szCs w:val="24"/>
          <w:lang w:val="en-GB"/>
        </w:rPr>
        <w:t>recent case</w:t>
      </w:r>
      <w:r w:rsidRPr="00C27188">
        <w:rPr>
          <w:rStyle w:val="FootnoteReference"/>
          <w:rFonts w:ascii="Times New Roman" w:hAnsi="Times New Roman" w:cs="Times New Roman"/>
          <w:color w:val="4472C4" w:themeColor="accent1"/>
          <w:sz w:val="24"/>
          <w:szCs w:val="24"/>
          <w:lang w:val="en-GB"/>
        </w:rPr>
        <w:footnoteReference w:id="14"/>
      </w:r>
      <w:r w:rsidRPr="00C27188">
        <w:rPr>
          <w:rFonts w:ascii="Times New Roman" w:hAnsi="Times New Roman" w:cs="Times New Roman"/>
          <w:color w:val="4472C4" w:themeColor="accent1"/>
          <w:sz w:val="24"/>
          <w:szCs w:val="24"/>
          <w:lang w:val="en-GB"/>
        </w:rPr>
        <w:t>, the spouses (the mother – Lithuanian, the father – foreign nationality) had two minor children and lived in the UK. In July 2021, the mother removed the children to Lithuania. The father started abduction proceedings</w:t>
      </w:r>
      <w:r w:rsidR="005F553D" w:rsidRPr="00C27188">
        <w:rPr>
          <w:rFonts w:ascii="Times New Roman" w:hAnsi="Times New Roman" w:cs="Times New Roman"/>
          <w:color w:val="4472C4" w:themeColor="accent1"/>
          <w:sz w:val="24"/>
          <w:szCs w:val="24"/>
          <w:lang w:val="en-GB"/>
        </w:rPr>
        <w:t>,</w:t>
      </w:r>
      <w:r w:rsidRPr="00C27188">
        <w:rPr>
          <w:rFonts w:ascii="Times New Roman" w:hAnsi="Times New Roman" w:cs="Times New Roman"/>
          <w:color w:val="4472C4" w:themeColor="accent1"/>
          <w:sz w:val="24"/>
          <w:szCs w:val="24"/>
          <w:lang w:val="en-GB"/>
        </w:rPr>
        <w:t xml:space="preserve"> and in January 2022 the case </w:t>
      </w:r>
      <w:r w:rsidRPr="00C27188">
        <w:rPr>
          <w:rFonts w:ascii="Times New Roman" w:hAnsi="Times New Roman" w:cs="Times New Roman"/>
          <w:color w:val="4472C4" w:themeColor="accent1"/>
          <w:sz w:val="24"/>
          <w:szCs w:val="24"/>
          <w:lang w:val="en-GB"/>
        </w:rPr>
        <w:lastRenderedPageBreak/>
        <w:t>reached Lithuanian courts. The first instance court ordered the return of children. On appeal, the mother argued that children like living in Lithuania and Article 12 of the Hague Convention should be applied. Referring to Article 13(1)(b)</w:t>
      </w:r>
      <w:r w:rsidR="00B24C2F">
        <w:rPr>
          <w:rFonts w:ascii="Times New Roman" w:hAnsi="Times New Roman" w:cs="Times New Roman"/>
          <w:color w:val="4472C4" w:themeColor="accent1"/>
          <w:sz w:val="24"/>
          <w:szCs w:val="24"/>
          <w:lang w:val="en-GB"/>
        </w:rPr>
        <w:t>,</w:t>
      </w:r>
      <w:r w:rsidRPr="00C27188">
        <w:rPr>
          <w:rFonts w:ascii="Times New Roman" w:hAnsi="Times New Roman" w:cs="Times New Roman"/>
          <w:color w:val="4472C4" w:themeColor="accent1"/>
          <w:sz w:val="24"/>
          <w:szCs w:val="24"/>
          <w:lang w:val="en-GB"/>
        </w:rPr>
        <w:t xml:space="preserve"> the mother noted that if the children were returned to the UK, there was a risk of physical or psychological harm to the children, or the risk of being placed in another intolerable situation. In her view, the father </w:t>
      </w:r>
      <w:r w:rsidR="005F553D" w:rsidRPr="00C27188">
        <w:rPr>
          <w:rFonts w:ascii="Times New Roman" w:hAnsi="Times New Roman" w:cs="Times New Roman"/>
          <w:color w:val="4472C4" w:themeColor="accent1"/>
          <w:sz w:val="24"/>
          <w:szCs w:val="24"/>
          <w:lang w:val="en-GB"/>
        </w:rPr>
        <w:t>wa</w:t>
      </w:r>
      <w:r w:rsidRPr="00C27188">
        <w:rPr>
          <w:rFonts w:ascii="Times New Roman" w:hAnsi="Times New Roman" w:cs="Times New Roman"/>
          <w:color w:val="4472C4" w:themeColor="accent1"/>
          <w:sz w:val="24"/>
          <w:szCs w:val="24"/>
          <w:lang w:val="en-GB"/>
        </w:rPr>
        <w:t xml:space="preserve">s not able to take care of the children himself, he </w:t>
      </w:r>
      <w:r w:rsidR="005F553D" w:rsidRPr="00C27188">
        <w:rPr>
          <w:rFonts w:ascii="Times New Roman" w:hAnsi="Times New Roman" w:cs="Times New Roman"/>
          <w:color w:val="4472C4" w:themeColor="accent1"/>
          <w:sz w:val="24"/>
          <w:szCs w:val="24"/>
          <w:lang w:val="en-GB"/>
        </w:rPr>
        <w:t>wa</w:t>
      </w:r>
      <w:r w:rsidRPr="00C27188">
        <w:rPr>
          <w:rFonts w:ascii="Times New Roman" w:hAnsi="Times New Roman" w:cs="Times New Roman"/>
          <w:color w:val="4472C4" w:themeColor="accent1"/>
          <w:sz w:val="24"/>
          <w:szCs w:val="24"/>
          <w:lang w:val="en-GB"/>
        </w:rPr>
        <w:t>s very strict and categorical in his parenting (</w:t>
      </w:r>
      <w:r w:rsidR="00FC1C63">
        <w:rPr>
          <w:rFonts w:ascii="Times New Roman" w:hAnsi="Times New Roman" w:cs="Times New Roman"/>
          <w:color w:val="4472C4" w:themeColor="accent1"/>
          <w:sz w:val="24"/>
          <w:szCs w:val="24"/>
          <w:lang w:val="en-GB"/>
        </w:rPr>
        <w:t xml:space="preserve">her arguments: </w:t>
      </w:r>
      <w:r w:rsidRPr="00C27188">
        <w:rPr>
          <w:rFonts w:ascii="Times New Roman" w:hAnsi="Times New Roman" w:cs="Times New Roman"/>
          <w:color w:val="4472C4" w:themeColor="accent1"/>
          <w:sz w:val="24"/>
          <w:szCs w:val="24"/>
          <w:lang w:val="en-GB"/>
        </w:rPr>
        <w:t xml:space="preserve">he is of different religion and forbids eating some types of meat, without her agreement </w:t>
      </w:r>
      <w:r w:rsidR="00FC1C63">
        <w:rPr>
          <w:rFonts w:ascii="Times New Roman" w:hAnsi="Times New Roman" w:cs="Times New Roman"/>
          <w:color w:val="4472C4" w:themeColor="accent1"/>
          <w:sz w:val="24"/>
          <w:szCs w:val="24"/>
          <w:lang w:val="en-GB"/>
        </w:rPr>
        <w:t xml:space="preserve">he </w:t>
      </w:r>
      <w:r w:rsidRPr="00C27188">
        <w:rPr>
          <w:rFonts w:ascii="Times New Roman" w:hAnsi="Times New Roman" w:cs="Times New Roman"/>
          <w:color w:val="4472C4" w:themeColor="accent1"/>
          <w:sz w:val="24"/>
          <w:szCs w:val="24"/>
          <w:lang w:val="en-GB"/>
        </w:rPr>
        <w:t>performed their son’s circumcision). Such actions, according to the mother, amount</w:t>
      </w:r>
      <w:r w:rsidR="005F553D" w:rsidRPr="00C27188">
        <w:rPr>
          <w:rFonts w:ascii="Times New Roman" w:hAnsi="Times New Roman" w:cs="Times New Roman"/>
          <w:color w:val="4472C4" w:themeColor="accent1"/>
          <w:sz w:val="24"/>
          <w:szCs w:val="24"/>
          <w:lang w:val="en-GB"/>
        </w:rPr>
        <w:t>ed</w:t>
      </w:r>
      <w:r w:rsidRPr="00C27188">
        <w:rPr>
          <w:rFonts w:ascii="Times New Roman" w:hAnsi="Times New Roman" w:cs="Times New Roman"/>
          <w:color w:val="4472C4" w:themeColor="accent1"/>
          <w:sz w:val="24"/>
          <w:szCs w:val="24"/>
          <w:lang w:val="en-GB"/>
        </w:rPr>
        <w:t xml:space="preserve"> to psychological violence against the children.</w:t>
      </w:r>
      <w:r w:rsidR="002D57EF" w:rsidRPr="00C27188">
        <w:rPr>
          <w:rFonts w:ascii="Times New Roman" w:hAnsi="Times New Roman" w:cs="Times New Roman"/>
          <w:color w:val="4472C4" w:themeColor="accent1"/>
          <w:sz w:val="24"/>
          <w:szCs w:val="24"/>
          <w:lang w:val="en-GB"/>
        </w:rPr>
        <w:t xml:space="preserve"> </w:t>
      </w:r>
      <w:r w:rsidRPr="00C27188">
        <w:rPr>
          <w:rFonts w:ascii="Times New Roman" w:hAnsi="Times New Roman" w:cs="Times New Roman"/>
          <w:color w:val="4472C4" w:themeColor="accent1"/>
          <w:sz w:val="24"/>
          <w:szCs w:val="24"/>
          <w:lang w:val="en-GB"/>
        </w:rPr>
        <w:t>The Appeal Court did not agree. It ruled that none of the circumstances cited by the mother (prohibition to eat pork, circumcision of the genitalia</w:t>
      </w:r>
      <w:r w:rsidR="005F553D" w:rsidRPr="00C27188">
        <w:rPr>
          <w:rFonts w:ascii="Times New Roman" w:hAnsi="Times New Roman" w:cs="Times New Roman"/>
          <w:color w:val="4472C4" w:themeColor="accent1"/>
          <w:sz w:val="24"/>
          <w:szCs w:val="24"/>
          <w:lang w:val="en-GB"/>
        </w:rPr>
        <w:t xml:space="preserve"> of the boy</w:t>
      </w:r>
      <w:r w:rsidRPr="00C27188">
        <w:rPr>
          <w:rFonts w:ascii="Times New Roman" w:hAnsi="Times New Roman" w:cs="Times New Roman"/>
          <w:color w:val="4472C4" w:themeColor="accent1"/>
          <w:sz w:val="24"/>
          <w:szCs w:val="24"/>
          <w:lang w:val="en-GB"/>
        </w:rPr>
        <w:t xml:space="preserve">) </w:t>
      </w:r>
      <w:r w:rsidR="00FC1C63">
        <w:rPr>
          <w:rFonts w:ascii="Times New Roman" w:hAnsi="Times New Roman" w:cs="Times New Roman"/>
          <w:color w:val="4472C4" w:themeColor="accent1"/>
          <w:sz w:val="24"/>
          <w:szCs w:val="24"/>
          <w:lang w:val="en-GB"/>
        </w:rPr>
        <w:t>was</w:t>
      </w:r>
      <w:r w:rsidRPr="00C27188">
        <w:rPr>
          <w:rFonts w:ascii="Times New Roman" w:hAnsi="Times New Roman" w:cs="Times New Roman"/>
          <w:color w:val="4472C4" w:themeColor="accent1"/>
          <w:sz w:val="24"/>
          <w:szCs w:val="24"/>
          <w:lang w:val="en-GB"/>
        </w:rPr>
        <w:t xml:space="preserve"> such as to constitute extreme cases which would prevent the normal development of the minor children on return to the UK. These circumstances</w:t>
      </w:r>
      <w:r w:rsidR="00B24C2F">
        <w:rPr>
          <w:rFonts w:ascii="Times New Roman" w:hAnsi="Times New Roman" w:cs="Times New Roman"/>
          <w:color w:val="4472C4" w:themeColor="accent1"/>
          <w:sz w:val="24"/>
          <w:szCs w:val="24"/>
          <w:lang w:val="en-GB"/>
        </w:rPr>
        <w:t xml:space="preserve"> were</w:t>
      </w:r>
      <w:r w:rsidRPr="00C27188">
        <w:rPr>
          <w:rFonts w:ascii="Times New Roman" w:hAnsi="Times New Roman" w:cs="Times New Roman"/>
          <w:color w:val="4472C4" w:themeColor="accent1"/>
          <w:sz w:val="24"/>
          <w:szCs w:val="24"/>
          <w:lang w:val="en-GB"/>
        </w:rPr>
        <w:t xml:space="preserve"> only relate</w:t>
      </w:r>
      <w:r w:rsidR="00FC1C63">
        <w:rPr>
          <w:rFonts w:ascii="Times New Roman" w:hAnsi="Times New Roman" w:cs="Times New Roman"/>
          <w:color w:val="4472C4" w:themeColor="accent1"/>
          <w:sz w:val="24"/>
          <w:szCs w:val="24"/>
          <w:lang w:val="en-GB"/>
        </w:rPr>
        <w:t>d</w:t>
      </w:r>
      <w:r w:rsidRPr="00C27188">
        <w:rPr>
          <w:rFonts w:ascii="Times New Roman" w:hAnsi="Times New Roman" w:cs="Times New Roman"/>
          <w:color w:val="4472C4" w:themeColor="accent1"/>
          <w:sz w:val="24"/>
          <w:szCs w:val="24"/>
          <w:lang w:val="en-GB"/>
        </w:rPr>
        <w:t xml:space="preserve"> to their father's religious and cultural requirements. There </w:t>
      </w:r>
      <w:r w:rsidR="005F553D" w:rsidRPr="00C27188">
        <w:rPr>
          <w:rFonts w:ascii="Times New Roman" w:hAnsi="Times New Roman" w:cs="Times New Roman"/>
          <w:color w:val="4472C4" w:themeColor="accent1"/>
          <w:sz w:val="24"/>
          <w:szCs w:val="24"/>
          <w:lang w:val="en-GB"/>
        </w:rPr>
        <w:t>wa</w:t>
      </w:r>
      <w:r w:rsidRPr="00C27188">
        <w:rPr>
          <w:rFonts w:ascii="Times New Roman" w:hAnsi="Times New Roman" w:cs="Times New Roman"/>
          <w:color w:val="4472C4" w:themeColor="accent1"/>
          <w:sz w:val="24"/>
          <w:szCs w:val="24"/>
          <w:lang w:val="en-GB"/>
        </w:rPr>
        <w:t xml:space="preserve">s no evidence that the father has failed to take proper care of the children, has behaved inappropriately in front of them, has abused alcohol, drugs or psychotropic substances, or has caused them irreparable harm by other inappropriate acts during the time the family has been living in the </w:t>
      </w:r>
      <w:r w:rsidR="00FC1C63">
        <w:rPr>
          <w:rFonts w:ascii="Times New Roman" w:hAnsi="Times New Roman" w:cs="Times New Roman"/>
          <w:color w:val="4472C4" w:themeColor="accent1"/>
          <w:sz w:val="24"/>
          <w:szCs w:val="24"/>
          <w:lang w:val="en-GB"/>
        </w:rPr>
        <w:t>UK</w:t>
      </w:r>
      <w:r w:rsidRPr="00C27188">
        <w:rPr>
          <w:rFonts w:ascii="Times New Roman" w:hAnsi="Times New Roman" w:cs="Times New Roman"/>
          <w:color w:val="4472C4" w:themeColor="accent1"/>
          <w:sz w:val="24"/>
          <w:szCs w:val="24"/>
          <w:lang w:val="en-GB"/>
        </w:rPr>
        <w:t>.</w:t>
      </w:r>
      <w:r w:rsidR="005F553D" w:rsidRPr="00C27188">
        <w:rPr>
          <w:rFonts w:ascii="Times New Roman" w:hAnsi="Times New Roman" w:cs="Times New Roman"/>
          <w:color w:val="4472C4" w:themeColor="accent1"/>
          <w:sz w:val="24"/>
          <w:szCs w:val="24"/>
          <w:lang w:val="en-GB"/>
        </w:rPr>
        <w:t xml:space="preserve"> The court thus refused to apply </w:t>
      </w:r>
      <w:r w:rsidR="00FC1C63">
        <w:rPr>
          <w:rFonts w:ascii="Times New Roman" w:hAnsi="Times New Roman" w:cs="Times New Roman"/>
          <w:color w:val="4472C4" w:themeColor="accent1"/>
          <w:sz w:val="24"/>
          <w:szCs w:val="24"/>
        </w:rPr>
        <w:t>‘</w:t>
      </w:r>
      <w:r w:rsidR="005F553D" w:rsidRPr="00C27188">
        <w:rPr>
          <w:rFonts w:ascii="Times New Roman" w:hAnsi="Times New Roman" w:cs="Times New Roman"/>
          <w:color w:val="4472C4" w:themeColor="accent1"/>
          <w:sz w:val="24"/>
          <w:szCs w:val="24"/>
        </w:rPr>
        <w:t>grave risk of harm</w:t>
      </w:r>
      <w:r w:rsidR="00FC1C63">
        <w:rPr>
          <w:rFonts w:ascii="Times New Roman" w:hAnsi="Times New Roman" w:cs="Times New Roman"/>
          <w:color w:val="4472C4" w:themeColor="accent1"/>
          <w:sz w:val="24"/>
          <w:szCs w:val="24"/>
        </w:rPr>
        <w:t>’</w:t>
      </w:r>
      <w:r w:rsidR="005F553D" w:rsidRPr="00C27188">
        <w:rPr>
          <w:rFonts w:ascii="Times New Roman" w:hAnsi="Times New Roman" w:cs="Times New Roman"/>
          <w:color w:val="4472C4" w:themeColor="accent1"/>
          <w:sz w:val="24"/>
          <w:szCs w:val="24"/>
        </w:rPr>
        <w:t xml:space="preserve"> exception.</w:t>
      </w:r>
    </w:p>
    <w:p w14:paraId="2A698F0C" w14:textId="77777777" w:rsidR="00D31D1D" w:rsidRPr="00C544E3" w:rsidRDefault="00D31D1D" w:rsidP="00D31D1D">
      <w:pPr>
        <w:pStyle w:val="ListParagraph"/>
        <w:jc w:val="both"/>
        <w:rPr>
          <w:rFonts w:ascii="Times New Roman" w:hAnsi="Times New Roman" w:cs="Times New Roman"/>
        </w:rPr>
      </w:pPr>
    </w:p>
    <w:p w14:paraId="23797B53" w14:textId="73977C2E" w:rsidR="00446EB7" w:rsidRDefault="00446EB7" w:rsidP="008A76E4">
      <w:pPr>
        <w:pStyle w:val="ListParagraph"/>
        <w:numPr>
          <w:ilvl w:val="0"/>
          <w:numId w:val="8"/>
        </w:numPr>
        <w:jc w:val="both"/>
        <w:rPr>
          <w:rFonts w:ascii="Times New Roman" w:hAnsi="Times New Roman" w:cs="Times New Roman"/>
        </w:rPr>
      </w:pPr>
      <w:r w:rsidRPr="00C544E3">
        <w:rPr>
          <w:rFonts w:ascii="Times New Roman" w:hAnsi="Times New Roman" w:cs="Times New Roman"/>
        </w:rPr>
        <w:t xml:space="preserve">Are you aware of cases </w:t>
      </w:r>
      <w:r w:rsidR="00F855CF" w:rsidRPr="00C544E3">
        <w:rPr>
          <w:rFonts w:ascii="Times New Roman" w:hAnsi="Times New Roman" w:cs="Times New Roman"/>
        </w:rPr>
        <w:t>in which</w:t>
      </w:r>
      <w:r w:rsidRPr="00C544E3">
        <w:rPr>
          <w:rFonts w:ascii="Times New Roman" w:hAnsi="Times New Roman" w:cs="Times New Roman"/>
        </w:rPr>
        <w:t xml:space="preserve"> Article 13(1)(b) has been interpreted inconsistently </w:t>
      </w:r>
      <w:r w:rsidR="00E215E8" w:rsidRPr="00C544E3">
        <w:rPr>
          <w:rFonts w:ascii="Times New Roman" w:hAnsi="Times New Roman" w:cs="Times New Roman"/>
        </w:rPr>
        <w:t>with</w:t>
      </w:r>
      <w:r w:rsidRPr="00C544E3">
        <w:rPr>
          <w:rFonts w:ascii="Times New Roman" w:hAnsi="Times New Roman" w:cs="Times New Roman"/>
        </w:rPr>
        <w:t>in your jurisdiction?</w:t>
      </w:r>
      <w:r w:rsidR="00945E11" w:rsidRPr="00C544E3">
        <w:rPr>
          <w:rFonts w:ascii="Times New Roman" w:hAnsi="Times New Roman" w:cs="Times New Roman"/>
        </w:rPr>
        <w:t xml:space="preserve"> If so, please briefly elaborate.</w:t>
      </w:r>
    </w:p>
    <w:p w14:paraId="1583F14A" w14:textId="77777777" w:rsidR="005F553D" w:rsidRPr="00C27188" w:rsidRDefault="005F553D" w:rsidP="005F553D">
      <w:pPr>
        <w:pStyle w:val="ListParagraph"/>
        <w:jc w:val="both"/>
        <w:rPr>
          <w:rFonts w:ascii="Times New Roman" w:hAnsi="Times New Roman" w:cs="Times New Roman"/>
          <w:sz w:val="24"/>
          <w:szCs w:val="24"/>
        </w:rPr>
      </w:pPr>
    </w:p>
    <w:p w14:paraId="4169ABEB" w14:textId="75C5F56D" w:rsidR="008D2D4E" w:rsidRPr="00C27188" w:rsidRDefault="00D35FC8" w:rsidP="008D2D4E">
      <w:pPr>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Over</w:t>
      </w:r>
      <w:r w:rsidR="003903C0" w:rsidRPr="00C27188">
        <w:rPr>
          <w:rFonts w:ascii="Times New Roman" w:hAnsi="Times New Roman" w:cs="Times New Roman"/>
          <w:color w:val="4472C4" w:themeColor="accent1"/>
          <w:sz w:val="24"/>
          <w:szCs w:val="24"/>
        </w:rPr>
        <w:t xml:space="preserve"> the last 5 years, </w:t>
      </w:r>
      <w:r w:rsidRPr="00D35FC8">
        <w:rPr>
          <w:rFonts w:ascii="Times New Roman" w:hAnsi="Times New Roman" w:cs="Times New Roman"/>
          <w:color w:val="4472C4" w:themeColor="accent1"/>
          <w:sz w:val="24"/>
          <w:szCs w:val="24"/>
        </w:rPr>
        <w:t>Article 13(1)(b)</w:t>
      </w:r>
      <w:r>
        <w:rPr>
          <w:rFonts w:ascii="Times New Roman" w:hAnsi="Times New Roman" w:cs="Times New Roman"/>
          <w:color w:val="4472C4" w:themeColor="accent1"/>
          <w:sz w:val="24"/>
          <w:szCs w:val="24"/>
        </w:rPr>
        <w:t xml:space="preserve"> was used</w:t>
      </w:r>
      <w:r w:rsidRPr="00C27188">
        <w:rPr>
          <w:rFonts w:ascii="Times New Roman" w:hAnsi="Times New Roman" w:cs="Times New Roman"/>
          <w:color w:val="4472C4" w:themeColor="accent1"/>
          <w:sz w:val="24"/>
          <w:szCs w:val="24"/>
        </w:rPr>
        <w:t xml:space="preserve"> </w:t>
      </w:r>
      <w:r w:rsidR="003903C0" w:rsidRPr="00C27188">
        <w:rPr>
          <w:rFonts w:ascii="Times New Roman" w:hAnsi="Times New Roman" w:cs="Times New Roman"/>
          <w:color w:val="4472C4" w:themeColor="accent1"/>
          <w:sz w:val="24"/>
          <w:szCs w:val="24"/>
        </w:rPr>
        <w:t xml:space="preserve">only </w:t>
      </w:r>
      <w:r>
        <w:rPr>
          <w:rFonts w:ascii="Times New Roman" w:hAnsi="Times New Roman" w:cs="Times New Roman"/>
          <w:color w:val="4472C4" w:themeColor="accent1"/>
          <w:sz w:val="24"/>
          <w:szCs w:val="24"/>
        </w:rPr>
        <w:t xml:space="preserve">in </w:t>
      </w:r>
      <w:r w:rsidR="003903C0" w:rsidRPr="00C27188">
        <w:rPr>
          <w:rFonts w:ascii="Times New Roman" w:hAnsi="Times New Roman" w:cs="Times New Roman"/>
          <w:color w:val="4472C4" w:themeColor="accent1"/>
          <w:sz w:val="24"/>
          <w:szCs w:val="24"/>
        </w:rPr>
        <w:t xml:space="preserve">6 </w:t>
      </w:r>
      <w:r>
        <w:rPr>
          <w:rFonts w:ascii="Times New Roman" w:hAnsi="Times New Roman" w:cs="Times New Roman"/>
          <w:color w:val="4472C4" w:themeColor="accent1"/>
          <w:sz w:val="24"/>
          <w:szCs w:val="24"/>
        </w:rPr>
        <w:t xml:space="preserve">publicly available </w:t>
      </w:r>
      <w:r w:rsidR="003903C0" w:rsidRPr="00C27188">
        <w:rPr>
          <w:rFonts w:ascii="Times New Roman" w:hAnsi="Times New Roman" w:cs="Times New Roman"/>
          <w:color w:val="4472C4" w:themeColor="accent1"/>
          <w:sz w:val="24"/>
          <w:szCs w:val="24"/>
        </w:rPr>
        <w:t xml:space="preserve">cases. When reading them, I was not able to identify any inconsistency </w:t>
      </w:r>
      <w:r w:rsidR="00B24C2F">
        <w:rPr>
          <w:rFonts w:ascii="Times New Roman" w:hAnsi="Times New Roman" w:cs="Times New Roman"/>
          <w:color w:val="4472C4" w:themeColor="accent1"/>
          <w:sz w:val="24"/>
          <w:szCs w:val="24"/>
        </w:rPr>
        <w:t>in</w:t>
      </w:r>
      <w:r w:rsidR="003903C0" w:rsidRPr="00C27188">
        <w:rPr>
          <w:rFonts w:ascii="Times New Roman" w:hAnsi="Times New Roman" w:cs="Times New Roman"/>
          <w:color w:val="4472C4" w:themeColor="accent1"/>
          <w:sz w:val="24"/>
          <w:szCs w:val="24"/>
        </w:rPr>
        <w:t xml:space="preserve"> </w:t>
      </w:r>
      <w:r w:rsidR="00FC1C63">
        <w:rPr>
          <w:rFonts w:ascii="Times New Roman" w:hAnsi="Times New Roman" w:cs="Times New Roman"/>
          <w:color w:val="4472C4" w:themeColor="accent1"/>
          <w:sz w:val="24"/>
          <w:szCs w:val="24"/>
        </w:rPr>
        <w:t xml:space="preserve">the </w:t>
      </w:r>
      <w:r w:rsidR="003903C0" w:rsidRPr="00C27188">
        <w:rPr>
          <w:rFonts w:ascii="Times New Roman" w:hAnsi="Times New Roman" w:cs="Times New Roman"/>
          <w:color w:val="4472C4" w:themeColor="accent1"/>
          <w:sz w:val="24"/>
          <w:szCs w:val="24"/>
        </w:rPr>
        <w:t>interpretation of Article 13(1)(b). The judges seem to follow the definition of the ‘</w:t>
      </w:r>
      <w:r w:rsidR="005F553D" w:rsidRPr="00C27188">
        <w:rPr>
          <w:rFonts w:ascii="Times New Roman" w:hAnsi="Times New Roman" w:cs="Times New Roman"/>
          <w:color w:val="4472C4" w:themeColor="accent1"/>
          <w:sz w:val="24"/>
          <w:szCs w:val="24"/>
        </w:rPr>
        <w:t>grave risk of harm</w:t>
      </w:r>
      <w:r w:rsidR="00FC1C63">
        <w:rPr>
          <w:rFonts w:ascii="Times New Roman" w:hAnsi="Times New Roman" w:cs="Times New Roman"/>
          <w:color w:val="4472C4" w:themeColor="accent1"/>
          <w:sz w:val="24"/>
          <w:szCs w:val="24"/>
        </w:rPr>
        <w:t>’</w:t>
      </w:r>
      <w:r w:rsidR="005F553D" w:rsidRPr="00C27188">
        <w:rPr>
          <w:rFonts w:ascii="Times New Roman" w:hAnsi="Times New Roman" w:cs="Times New Roman"/>
          <w:color w:val="4472C4" w:themeColor="accent1"/>
          <w:sz w:val="24"/>
          <w:szCs w:val="24"/>
        </w:rPr>
        <w:t xml:space="preserve"> </w:t>
      </w:r>
      <w:r w:rsidR="003903C0" w:rsidRPr="00C27188">
        <w:rPr>
          <w:rFonts w:ascii="Times New Roman" w:hAnsi="Times New Roman" w:cs="Times New Roman"/>
          <w:color w:val="4472C4" w:themeColor="accent1"/>
          <w:sz w:val="24"/>
          <w:szCs w:val="24"/>
        </w:rPr>
        <w:t>as cited above</w:t>
      </w:r>
      <w:r w:rsidR="00FC1C63">
        <w:rPr>
          <w:rFonts w:ascii="Times New Roman" w:hAnsi="Times New Roman" w:cs="Times New Roman"/>
          <w:color w:val="4472C4" w:themeColor="accent1"/>
          <w:sz w:val="24"/>
          <w:szCs w:val="24"/>
        </w:rPr>
        <w:t>.</w:t>
      </w:r>
      <w:r w:rsidR="003903C0" w:rsidRPr="00C27188">
        <w:rPr>
          <w:rStyle w:val="FootnoteReference"/>
          <w:rFonts w:ascii="Times New Roman" w:hAnsi="Times New Roman" w:cs="Times New Roman"/>
          <w:color w:val="4472C4" w:themeColor="accent1"/>
          <w:sz w:val="24"/>
          <w:szCs w:val="24"/>
        </w:rPr>
        <w:footnoteReference w:id="15"/>
      </w:r>
      <w:r w:rsidR="00F26201" w:rsidRPr="00C27188">
        <w:rPr>
          <w:rFonts w:ascii="Times New Roman" w:hAnsi="Times New Roman" w:cs="Times New Roman"/>
          <w:color w:val="4472C4" w:themeColor="accent1"/>
          <w:sz w:val="24"/>
          <w:szCs w:val="24"/>
        </w:rPr>
        <w:t xml:space="preserve"> </w:t>
      </w:r>
    </w:p>
    <w:p w14:paraId="04ECF454" w14:textId="77777777" w:rsidR="00D31D1D" w:rsidRPr="00C544E3" w:rsidRDefault="00D31D1D" w:rsidP="00D31D1D">
      <w:pPr>
        <w:pStyle w:val="ListParagraph"/>
        <w:jc w:val="both"/>
        <w:rPr>
          <w:rFonts w:ascii="Times New Roman" w:hAnsi="Times New Roman" w:cs="Times New Roman"/>
        </w:rPr>
      </w:pPr>
    </w:p>
    <w:p w14:paraId="6DCB586C" w14:textId="1165F3B0" w:rsidR="0034190F" w:rsidRDefault="0034190F" w:rsidP="008A76E4">
      <w:pPr>
        <w:pStyle w:val="ListParagraph"/>
        <w:numPr>
          <w:ilvl w:val="0"/>
          <w:numId w:val="8"/>
        </w:numPr>
        <w:jc w:val="both"/>
        <w:rPr>
          <w:rFonts w:ascii="Times New Roman" w:hAnsi="Times New Roman" w:cs="Times New Roman"/>
        </w:rPr>
      </w:pPr>
      <w:r w:rsidRPr="00C544E3">
        <w:rPr>
          <w:rFonts w:ascii="Times New Roman" w:hAnsi="Times New Roman" w:cs="Times New Roman"/>
        </w:rPr>
        <w:t>Please consider Article 13(1)(b) in conjunction with Article 11</w:t>
      </w:r>
      <w:r w:rsidR="007D7E71" w:rsidRPr="00C544E3">
        <w:rPr>
          <w:rFonts w:ascii="Times New Roman" w:hAnsi="Times New Roman" w:cs="Times New Roman"/>
        </w:rPr>
        <w:t>(4)</w:t>
      </w:r>
      <w:r w:rsidRPr="00C544E3">
        <w:rPr>
          <w:rFonts w:ascii="Times New Roman" w:hAnsi="Times New Roman" w:cs="Times New Roman"/>
        </w:rPr>
        <w:t xml:space="preserve"> of the Brussels </w:t>
      </w:r>
      <w:proofErr w:type="spellStart"/>
      <w:r w:rsidRPr="00C544E3">
        <w:rPr>
          <w:rFonts w:ascii="Times New Roman" w:hAnsi="Times New Roman" w:cs="Times New Roman"/>
        </w:rPr>
        <w:t>IIa</w:t>
      </w:r>
      <w:proofErr w:type="spellEnd"/>
      <w:r w:rsidRPr="00C544E3">
        <w:rPr>
          <w:rFonts w:ascii="Times New Roman" w:hAnsi="Times New Roman" w:cs="Times New Roman"/>
        </w:rPr>
        <w:t xml:space="preserve"> Regulation.</w:t>
      </w:r>
      <w:r w:rsidR="00002E77" w:rsidRPr="00C544E3">
        <w:rPr>
          <w:rStyle w:val="FootnoteReference"/>
          <w:rFonts w:ascii="Times New Roman" w:hAnsi="Times New Roman" w:cs="Times New Roman"/>
        </w:rPr>
        <w:footnoteReference w:id="16"/>
      </w:r>
      <w:r w:rsidRPr="00C544E3">
        <w:rPr>
          <w:rFonts w:ascii="Times New Roman" w:hAnsi="Times New Roman" w:cs="Times New Roman"/>
        </w:rPr>
        <w:t xml:space="preserve"> </w:t>
      </w:r>
      <w:r w:rsidR="007D7E71" w:rsidRPr="00C544E3">
        <w:rPr>
          <w:rFonts w:ascii="Times New Roman" w:hAnsi="Times New Roman" w:cs="Times New Roman"/>
        </w:rPr>
        <w:t xml:space="preserve">Can you identify a difference in the treatment of the grave risk of harm defence in intra-EU and non-intra EU cases? </w:t>
      </w:r>
      <w:r w:rsidRPr="00C544E3">
        <w:rPr>
          <w:rFonts w:ascii="Times New Roman" w:hAnsi="Times New Roman" w:cs="Times New Roman"/>
        </w:rPr>
        <w:t>What do you consider to be the most problematic points?</w:t>
      </w:r>
    </w:p>
    <w:p w14:paraId="02FA5EFF" w14:textId="13136C20" w:rsidR="00D31D1D" w:rsidRDefault="00D31D1D" w:rsidP="00D31D1D">
      <w:pPr>
        <w:pStyle w:val="ListParagraph"/>
        <w:rPr>
          <w:rFonts w:ascii="Times New Roman" w:hAnsi="Times New Roman" w:cs="Times New Roman"/>
        </w:rPr>
      </w:pPr>
    </w:p>
    <w:p w14:paraId="5901D916" w14:textId="697964E2" w:rsidR="003B65E9" w:rsidRPr="00C27188" w:rsidRDefault="00FC1C63" w:rsidP="003B58CD">
      <w:pPr>
        <w:pStyle w:val="Normal1"/>
        <w:tabs>
          <w:tab w:val="left" w:pos="6379"/>
        </w:tabs>
        <w:spacing w:before="120" w:after="120" w:line="320" w:lineRule="exact"/>
        <w:jc w:val="both"/>
        <w:rPr>
          <w:rFonts w:ascii="Times New Roman" w:hAnsi="Times New Roman" w:cs="Times New Roman"/>
          <w:color w:val="4472C4" w:themeColor="accent1"/>
          <w:sz w:val="24"/>
          <w:szCs w:val="24"/>
          <w:lang w:val="en-GB"/>
        </w:rPr>
      </w:pPr>
      <w:r>
        <w:rPr>
          <w:rFonts w:ascii="Times New Roman" w:hAnsi="Times New Roman" w:cs="Times New Roman"/>
          <w:color w:val="4472C4" w:themeColor="accent1"/>
          <w:sz w:val="24"/>
          <w:szCs w:val="24"/>
          <w:lang w:val="en-GB"/>
        </w:rPr>
        <w:t xml:space="preserve">As to </w:t>
      </w:r>
      <w:r w:rsidRPr="00FC1C63">
        <w:rPr>
          <w:rFonts w:ascii="Times New Roman" w:hAnsi="Times New Roman" w:cs="Times New Roman"/>
          <w:color w:val="4472C4" w:themeColor="accent1"/>
          <w:sz w:val="24"/>
          <w:szCs w:val="24"/>
          <w:lang w:val="en-GB"/>
        </w:rPr>
        <w:t xml:space="preserve">a difference in the treatment of the </w:t>
      </w:r>
      <w:r>
        <w:rPr>
          <w:rFonts w:ascii="Times New Roman" w:hAnsi="Times New Roman" w:cs="Times New Roman"/>
          <w:color w:val="4472C4" w:themeColor="accent1"/>
          <w:sz w:val="24"/>
          <w:szCs w:val="24"/>
          <w:lang w:val="en-GB"/>
        </w:rPr>
        <w:t>‘</w:t>
      </w:r>
      <w:r w:rsidRPr="00FC1C63">
        <w:rPr>
          <w:rFonts w:ascii="Times New Roman" w:hAnsi="Times New Roman" w:cs="Times New Roman"/>
          <w:color w:val="4472C4" w:themeColor="accent1"/>
          <w:sz w:val="24"/>
          <w:szCs w:val="24"/>
          <w:lang w:val="en-GB"/>
        </w:rPr>
        <w:t>grave risk of harm</w:t>
      </w:r>
      <w:r>
        <w:rPr>
          <w:rFonts w:ascii="Times New Roman" w:hAnsi="Times New Roman" w:cs="Times New Roman"/>
          <w:color w:val="4472C4" w:themeColor="accent1"/>
          <w:sz w:val="24"/>
          <w:szCs w:val="24"/>
          <w:lang w:val="en-GB"/>
        </w:rPr>
        <w:t>’</w:t>
      </w:r>
      <w:r w:rsidRPr="00FC1C63">
        <w:rPr>
          <w:rFonts w:ascii="Times New Roman" w:hAnsi="Times New Roman" w:cs="Times New Roman"/>
          <w:color w:val="4472C4" w:themeColor="accent1"/>
          <w:sz w:val="24"/>
          <w:szCs w:val="24"/>
          <w:lang w:val="en-GB"/>
        </w:rPr>
        <w:t xml:space="preserve"> defence in intra-EU and non-intra EU cases</w:t>
      </w:r>
      <w:r>
        <w:rPr>
          <w:rFonts w:ascii="Times New Roman" w:hAnsi="Times New Roman" w:cs="Times New Roman"/>
          <w:color w:val="4472C4" w:themeColor="accent1"/>
          <w:sz w:val="24"/>
          <w:szCs w:val="24"/>
          <w:lang w:val="en-GB"/>
        </w:rPr>
        <w:t>,</w:t>
      </w:r>
      <w:r w:rsidRPr="00FC1C63">
        <w:rPr>
          <w:rFonts w:ascii="Times New Roman" w:hAnsi="Times New Roman" w:cs="Times New Roman"/>
          <w:color w:val="4472C4" w:themeColor="accent1"/>
          <w:sz w:val="24"/>
          <w:szCs w:val="24"/>
          <w:lang w:val="en-GB"/>
        </w:rPr>
        <w:t xml:space="preserve"> </w:t>
      </w:r>
      <w:r>
        <w:rPr>
          <w:rFonts w:ascii="Times New Roman" w:hAnsi="Times New Roman" w:cs="Times New Roman"/>
          <w:color w:val="4472C4" w:themeColor="accent1"/>
          <w:sz w:val="24"/>
          <w:szCs w:val="24"/>
          <w:lang w:val="en-GB"/>
        </w:rPr>
        <w:t>i</w:t>
      </w:r>
      <w:r w:rsidR="003B65E9" w:rsidRPr="00C27188">
        <w:rPr>
          <w:rFonts w:ascii="Times New Roman" w:hAnsi="Times New Roman" w:cs="Times New Roman"/>
          <w:color w:val="4472C4" w:themeColor="accent1"/>
          <w:sz w:val="24"/>
          <w:szCs w:val="24"/>
          <w:lang w:val="en-GB"/>
        </w:rPr>
        <w:t>n intra-EU cases the EU regulations are cited</w:t>
      </w:r>
      <w:r w:rsidR="005F553D" w:rsidRPr="00C27188">
        <w:rPr>
          <w:rFonts w:ascii="Times New Roman" w:hAnsi="Times New Roman" w:cs="Times New Roman"/>
          <w:color w:val="4472C4" w:themeColor="accent1"/>
          <w:sz w:val="24"/>
          <w:szCs w:val="24"/>
          <w:lang w:val="en-GB"/>
        </w:rPr>
        <w:t>; however</w:t>
      </w:r>
      <w:r w:rsidR="003B65E9" w:rsidRPr="00C27188">
        <w:rPr>
          <w:rFonts w:ascii="Times New Roman" w:hAnsi="Times New Roman" w:cs="Times New Roman"/>
          <w:color w:val="4472C4" w:themeColor="accent1"/>
          <w:sz w:val="24"/>
          <w:szCs w:val="24"/>
          <w:lang w:val="en-GB"/>
        </w:rPr>
        <w:t xml:space="preserve">, I have not noted </w:t>
      </w:r>
      <w:r w:rsidR="005F553D" w:rsidRPr="00C27188">
        <w:rPr>
          <w:rFonts w:ascii="Times New Roman" w:hAnsi="Times New Roman" w:cs="Times New Roman"/>
          <w:color w:val="4472C4" w:themeColor="accent1"/>
          <w:sz w:val="24"/>
          <w:szCs w:val="24"/>
          <w:lang w:val="en-GB"/>
        </w:rPr>
        <w:t xml:space="preserve">a </w:t>
      </w:r>
      <w:r w:rsidR="003B65E9" w:rsidRPr="00C27188">
        <w:rPr>
          <w:rFonts w:ascii="Times New Roman" w:hAnsi="Times New Roman" w:cs="Times New Roman"/>
          <w:color w:val="4472C4" w:themeColor="accent1"/>
          <w:sz w:val="24"/>
          <w:szCs w:val="24"/>
          <w:lang w:val="en-GB"/>
        </w:rPr>
        <w:t xml:space="preserve">major difference in </w:t>
      </w:r>
      <w:r w:rsidR="005F553D" w:rsidRPr="00C27188">
        <w:rPr>
          <w:rFonts w:ascii="Times New Roman" w:hAnsi="Times New Roman" w:cs="Times New Roman"/>
          <w:color w:val="4472C4" w:themeColor="accent1"/>
          <w:sz w:val="24"/>
          <w:szCs w:val="24"/>
          <w:lang w:val="en-GB"/>
        </w:rPr>
        <w:t xml:space="preserve">the </w:t>
      </w:r>
      <w:r w:rsidR="003B65E9" w:rsidRPr="00C27188">
        <w:rPr>
          <w:rFonts w:ascii="Times New Roman" w:hAnsi="Times New Roman" w:cs="Times New Roman"/>
          <w:color w:val="4472C4" w:themeColor="accent1"/>
          <w:sz w:val="24"/>
          <w:szCs w:val="24"/>
          <w:lang w:val="en-GB"/>
        </w:rPr>
        <w:t>interpretation or motivation of the courts.</w:t>
      </w:r>
      <w:r w:rsidR="003903C0" w:rsidRPr="00C27188">
        <w:rPr>
          <w:rFonts w:ascii="Times New Roman" w:hAnsi="Times New Roman" w:cs="Times New Roman"/>
          <w:color w:val="4472C4" w:themeColor="accent1"/>
          <w:sz w:val="24"/>
          <w:szCs w:val="24"/>
          <w:lang w:val="en-GB"/>
        </w:rPr>
        <w:t xml:space="preserve"> What can be noted, however, is that Lithuanian courts rarely </w:t>
      </w:r>
      <w:r w:rsidR="00622D88" w:rsidRPr="00C27188">
        <w:rPr>
          <w:rFonts w:ascii="Times New Roman" w:hAnsi="Times New Roman" w:cs="Times New Roman"/>
          <w:color w:val="4472C4" w:themeColor="accent1"/>
          <w:sz w:val="24"/>
          <w:szCs w:val="24"/>
          <w:lang w:val="en-GB"/>
        </w:rPr>
        <w:t xml:space="preserve">analyse the question of ‘protective measures’ or ‘adequate arrangements’ in cases where </w:t>
      </w:r>
      <w:r>
        <w:rPr>
          <w:rFonts w:ascii="Times New Roman" w:hAnsi="Times New Roman" w:cs="Times New Roman"/>
          <w:color w:val="4472C4" w:themeColor="accent1"/>
          <w:sz w:val="24"/>
          <w:szCs w:val="24"/>
        </w:rPr>
        <w:t>‘</w:t>
      </w:r>
      <w:r w:rsidR="005F553D" w:rsidRPr="00C27188">
        <w:rPr>
          <w:rFonts w:ascii="Times New Roman" w:hAnsi="Times New Roman" w:cs="Times New Roman"/>
          <w:color w:val="4472C4" w:themeColor="accent1"/>
          <w:sz w:val="24"/>
          <w:szCs w:val="24"/>
        </w:rPr>
        <w:t>grave risk of harm</w:t>
      </w:r>
      <w:r>
        <w:rPr>
          <w:rFonts w:ascii="Times New Roman" w:hAnsi="Times New Roman" w:cs="Times New Roman"/>
          <w:color w:val="4472C4" w:themeColor="accent1"/>
          <w:sz w:val="24"/>
          <w:szCs w:val="24"/>
        </w:rPr>
        <w:t>’</w:t>
      </w:r>
      <w:r w:rsidR="005F553D" w:rsidRPr="00C27188">
        <w:rPr>
          <w:rFonts w:ascii="Times New Roman" w:hAnsi="Times New Roman" w:cs="Times New Roman"/>
          <w:color w:val="4472C4" w:themeColor="accent1"/>
          <w:sz w:val="24"/>
          <w:szCs w:val="24"/>
        </w:rPr>
        <w:t xml:space="preserve"> </w:t>
      </w:r>
      <w:r w:rsidR="00622D88" w:rsidRPr="00C27188">
        <w:rPr>
          <w:rFonts w:ascii="Times New Roman" w:hAnsi="Times New Roman" w:cs="Times New Roman"/>
          <w:color w:val="4472C4" w:themeColor="accent1"/>
          <w:sz w:val="24"/>
          <w:szCs w:val="24"/>
          <w:lang w:val="en-GB"/>
        </w:rPr>
        <w:t>exception is found to exist.</w:t>
      </w:r>
    </w:p>
    <w:p w14:paraId="115A513B" w14:textId="309B90C2" w:rsidR="008D2D4E" w:rsidRPr="00C27188" w:rsidRDefault="003B65E9" w:rsidP="00622D88">
      <w:pPr>
        <w:pStyle w:val="Normal1"/>
        <w:tabs>
          <w:tab w:val="left" w:pos="6379"/>
        </w:tabs>
        <w:spacing w:before="120" w:after="120" w:line="320" w:lineRule="exact"/>
        <w:jc w:val="both"/>
        <w:rPr>
          <w:rFonts w:ascii="Times New Roman" w:hAnsi="Times New Roman" w:cs="Times New Roman"/>
          <w:color w:val="4472C4" w:themeColor="accent1"/>
          <w:sz w:val="24"/>
          <w:szCs w:val="24"/>
          <w:lang w:val="en-GB"/>
        </w:rPr>
      </w:pPr>
      <w:r w:rsidRPr="00C27188">
        <w:rPr>
          <w:rFonts w:ascii="Times New Roman" w:hAnsi="Times New Roman" w:cs="Times New Roman"/>
          <w:color w:val="4472C4" w:themeColor="accent1"/>
          <w:sz w:val="24"/>
          <w:szCs w:val="24"/>
          <w:lang w:val="en-GB"/>
        </w:rPr>
        <w:t xml:space="preserve">As for </w:t>
      </w:r>
      <w:r w:rsidR="00622D88" w:rsidRPr="00C27188">
        <w:rPr>
          <w:rFonts w:ascii="Times New Roman" w:hAnsi="Times New Roman" w:cs="Times New Roman"/>
          <w:color w:val="4472C4" w:themeColor="accent1"/>
          <w:sz w:val="24"/>
          <w:szCs w:val="24"/>
          <w:lang w:val="en-GB"/>
        </w:rPr>
        <w:t xml:space="preserve">other </w:t>
      </w:r>
      <w:r w:rsidRPr="00C27188">
        <w:rPr>
          <w:rFonts w:ascii="Times New Roman" w:hAnsi="Times New Roman" w:cs="Times New Roman"/>
          <w:color w:val="4472C4" w:themeColor="accent1"/>
          <w:sz w:val="24"/>
          <w:szCs w:val="24"/>
          <w:lang w:val="en-GB"/>
        </w:rPr>
        <w:t xml:space="preserve">problematic points, </w:t>
      </w:r>
      <w:r w:rsidR="008D2D4E" w:rsidRPr="00C27188">
        <w:rPr>
          <w:rFonts w:ascii="Times New Roman" w:hAnsi="Times New Roman" w:cs="Times New Roman"/>
          <w:color w:val="4472C4" w:themeColor="accent1"/>
          <w:sz w:val="24"/>
          <w:szCs w:val="24"/>
          <w:lang w:val="en-GB"/>
        </w:rPr>
        <w:t xml:space="preserve">Lithuanian courts sometimes use a different path to refuse the return </w:t>
      </w:r>
      <w:r w:rsidR="00CC2738" w:rsidRPr="00C27188">
        <w:rPr>
          <w:rFonts w:ascii="Times New Roman" w:hAnsi="Times New Roman" w:cs="Times New Roman"/>
          <w:color w:val="4472C4" w:themeColor="accent1"/>
          <w:sz w:val="24"/>
          <w:szCs w:val="24"/>
          <w:lang w:val="en-GB"/>
        </w:rPr>
        <w:t>–</w:t>
      </w:r>
      <w:r w:rsidR="008D2D4E" w:rsidRPr="00C27188">
        <w:rPr>
          <w:rFonts w:ascii="Times New Roman" w:hAnsi="Times New Roman" w:cs="Times New Roman"/>
          <w:color w:val="4472C4" w:themeColor="accent1"/>
          <w:sz w:val="24"/>
          <w:szCs w:val="24"/>
          <w:lang w:val="en-GB"/>
        </w:rPr>
        <w:t xml:space="preserve"> </w:t>
      </w:r>
      <w:r w:rsidR="00CC2738" w:rsidRPr="00C27188">
        <w:rPr>
          <w:rFonts w:ascii="Times New Roman" w:hAnsi="Times New Roman" w:cs="Times New Roman"/>
          <w:color w:val="4472C4" w:themeColor="accent1"/>
          <w:sz w:val="24"/>
          <w:szCs w:val="24"/>
          <w:lang w:val="en-GB"/>
        </w:rPr>
        <w:t xml:space="preserve">in addition to Article 13(1)b they </w:t>
      </w:r>
      <w:r w:rsidR="008D2D4E" w:rsidRPr="00C27188">
        <w:rPr>
          <w:rFonts w:ascii="Times New Roman" w:hAnsi="Times New Roman" w:cs="Times New Roman"/>
          <w:color w:val="4472C4" w:themeColor="accent1"/>
          <w:sz w:val="24"/>
          <w:szCs w:val="24"/>
          <w:lang w:val="en-GB"/>
        </w:rPr>
        <w:t xml:space="preserve">invoke Article 12(2) of the Hague Convention (if one year has elapsed since the unlawful removal or detention and the child has adapted to the new environment). Interestingly, the Lithuanian courts ignore the one-year term prescribed by </w:t>
      </w:r>
      <w:r w:rsidR="008D2D4E" w:rsidRPr="00C27188">
        <w:rPr>
          <w:rFonts w:ascii="Times New Roman" w:hAnsi="Times New Roman" w:cs="Times New Roman"/>
          <w:color w:val="4472C4" w:themeColor="accent1"/>
          <w:sz w:val="24"/>
          <w:szCs w:val="24"/>
          <w:lang w:val="en-GB"/>
        </w:rPr>
        <w:lastRenderedPageBreak/>
        <w:t xml:space="preserve">the </w:t>
      </w:r>
      <w:r w:rsidR="005F553D" w:rsidRPr="00C27188">
        <w:rPr>
          <w:rFonts w:ascii="Times New Roman" w:hAnsi="Times New Roman" w:cs="Times New Roman"/>
          <w:color w:val="4472C4" w:themeColor="accent1"/>
          <w:sz w:val="24"/>
          <w:szCs w:val="24"/>
          <w:lang w:val="en-GB"/>
        </w:rPr>
        <w:t>Hague Convention</w:t>
      </w:r>
      <w:r w:rsidR="008D2D4E" w:rsidRPr="00C27188">
        <w:rPr>
          <w:rFonts w:ascii="Times New Roman" w:hAnsi="Times New Roman" w:cs="Times New Roman"/>
          <w:color w:val="4472C4" w:themeColor="accent1"/>
          <w:sz w:val="24"/>
          <w:szCs w:val="24"/>
          <w:lang w:val="en-GB"/>
        </w:rPr>
        <w:t xml:space="preserve">. In particular, the view of the Court of Appeal of Lithuania, </w:t>
      </w:r>
      <w:r w:rsidR="005F553D" w:rsidRPr="00C27188">
        <w:rPr>
          <w:rFonts w:ascii="Times New Roman" w:hAnsi="Times New Roman" w:cs="Times New Roman"/>
          <w:color w:val="4472C4" w:themeColor="accent1"/>
          <w:sz w:val="24"/>
          <w:szCs w:val="24"/>
          <w:lang w:val="en-GB"/>
        </w:rPr>
        <w:t>“</w:t>
      </w:r>
      <w:r w:rsidR="008D2D4E" w:rsidRPr="00C27188">
        <w:rPr>
          <w:rFonts w:ascii="Times New Roman" w:hAnsi="Times New Roman" w:cs="Times New Roman"/>
          <w:color w:val="4472C4" w:themeColor="accent1"/>
          <w:sz w:val="24"/>
          <w:szCs w:val="24"/>
          <w:lang w:val="en-GB"/>
        </w:rPr>
        <w:t>the significance of the one-year time limit referred to in Article 12 of the Hague Convention must not be assessed in isolation but in the context of the second paragraph of the recital in the preamble to the Hague Convention and the provisions of other international instruments. It must not be interpreted and applied in a formalistic manner, but must be taken into account in the light of the aim of the exception for the return of a child, namely, to ensure that the best interests of the child, who has adjusted to the child's new environment, are protected</w:t>
      </w:r>
      <w:r w:rsidR="005F553D" w:rsidRPr="00C27188">
        <w:rPr>
          <w:rFonts w:ascii="Times New Roman" w:hAnsi="Times New Roman" w:cs="Times New Roman"/>
          <w:color w:val="4472C4" w:themeColor="accent1"/>
          <w:sz w:val="24"/>
          <w:szCs w:val="24"/>
          <w:lang w:val="en-GB"/>
        </w:rPr>
        <w:t>”</w:t>
      </w:r>
      <w:r w:rsidR="00622D88" w:rsidRPr="00C27188">
        <w:rPr>
          <w:rStyle w:val="FootnoteReference"/>
          <w:rFonts w:ascii="Times New Roman" w:hAnsi="Times New Roman" w:cs="Times New Roman"/>
          <w:color w:val="4472C4" w:themeColor="accent1"/>
          <w:sz w:val="24"/>
          <w:szCs w:val="24"/>
          <w:lang w:val="en-GB"/>
        </w:rPr>
        <w:footnoteReference w:id="17"/>
      </w:r>
      <w:r w:rsidR="008D2D4E" w:rsidRPr="00C27188">
        <w:rPr>
          <w:rFonts w:ascii="Times New Roman" w:hAnsi="Times New Roman" w:cs="Times New Roman"/>
          <w:color w:val="4472C4" w:themeColor="accent1"/>
          <w:sz w:val="24"/>
          <w:szCs w:val="24"/>
          <w:lang w:val="en-GB"/>
        </w:rPr>
        <w:t xml:space="preserve">. </w:t>
      </w:r>
      <w:r w:rsidR="00D703CA" w:rsidRPr="00C27188">
        <w:rPr>
          <w:rFonts w:ascii="Times New Roman" w:hAnsi="Times New Roman" w:cs="Times New Roman"/>
          <w:color w:val="4472C4" w:themeColor="accent1"/>
          <w:sz w:val="24"/>
          <w:szCs w:val="24"/>
          <w:lang w:val="en-GB"/>
        </w:rPr>
        <w:t xml:space="preserve">Following such reasoning, the Court of Appeal of Lithuania </w:t>
      </w:r>
      <w:r w:rsidR="008D2D4E" w:rsidRPr="00C27188">
        <w:rPr>
          <w:rFonts w:ascii="Times New Roman" w:hAnsi="Times New Roman" w:cs="Times New Roman"/>
          <w:color w:val="4472C4" w:themeColor="accent1"/>
          <w:sz w:val="24"/>
          <w:szCs w:val="24"/>
          <w:lang w:val="en-GB"/>
        </w:rPr>
        <w:t xml:space="preserve">when interpreting one year term have consistently ruled, that </w:t>
      </w:r>
      <w:r w:rsidR="00FC1C63">
        <w:rPr>
          <w:rFonts w:ascii="Times New Roman" w:hAnsi="Times New Roman" w:cs="Times New Roman"/>
          <w:color w:val="4472C4" w:themeColor="accent1"/>
          <w:sz w:val="24"/>
          <w:szCs w:val="24"/>
          <w:lang w:val="en-GB"/>
        </w:rPr>
        <w:t>“</w:t>
      </w:r>
      <w:r w:rsidR="008D2D4E" w:rsidRPr="00C27188">
        <w:rPr>
          <w:rFonts w:ascii="Times New Roman" w:hAnsi="Times New Roman" w:cs="Times New Roman"/>
          <w:color w:val="4472C4" w:themeColor="accent1"/>
          <w:sz w:val="24"/>
          <w:szCs w:val="24"/>
          <w:lang w:val="en-GB"/>
        </w:rPr>
        <w:t>this is a procedural and formal requirement</w:t>
      </w:r>
      <w:r w:rsidR="00FC1C63">
        <w:rPr>
          <w:rFonts w:ascii="Times New Roman" w:hAnsi="Times New Roman" w:cs="Times New Roman"/>
          <w:color w:val="4472C4" w:themeColor="accent1"/>
          <w:sz w:val="24"/>
          <w:szCs w:val="24"/>
          <w:lang w:val="en-GB"/>
        </w:rPr>
        <w:t>”</w:t>
      </w:r>
      <w:r w:rsidR="008D2D4E" w:rsidRPr="00C27188">
        <w:rPr>
          <w:rFonts w:ascii="Times New Roman" w:hAnsi="Times New Roman" w:cs="Times New Roman"/>
          <w:color w:val="4472C4" w:themeColor="accent1"/>
          <w:sz w:val="24"/>
          <w:szCs w:val="24"/>
          <w:lang w:val="en-GB"/>
        </w:rPr>
        <w:t xml:space="preserve"> and can be ignored for the best interests of the child. As a result, a child</w:t>
      </w:r>
      <w:r w:rsidR="00D703CA" w:rsidRPr="00C27188">
        <w:rPr>
          <w:rFonts w:ascii="Times New Roman" w:hAnsi="Times New Roman" w:cs="Times New Roman"/>
          <w:color w:val="4472C4" w:themeColor="accent1"/>
          <w:sz w:val="24"/>
          <w:szCs w:val="24"/>
          <w:lang w:val="en-GB"/>
        </w:rPr>
        <w:t xml:space="preserve"> (especially a young one)</w:t>
      </w:r>
      <w:r w:rsidR="008D2D4E" w:rsidRPr="00C27188">
        <w:rPr>
          <w:rFonts w:ascii="Times New Roman" w:hAnsi="Times New Roman" w:cs="Times New Roman"/>
          <w:color w:val="4472C4" w:themeColor="accent1"/>
          <w:sz w:val="24"/>
          <w:szCs w:val="24"/>
          <w:lang w:val="en-GB"/>
        </w:rPr>
        <w:t xml:space="preserve">, which is abducted just a few months ago </w:t>
      </w:r>
      <w:r w:rsidR="00D703CA" w:rsidRPr="00C27188">
        <w:rPr>
          <w:rFonts w:ascii="Times New Roman" w:hAnsi="Times New Roman" w:cs="Times New Roman"/>
          <w:color w:val="4472C4" w:themeColor="accent1"/>
          <w:sz w:val="24"/>
          <w:szCs w:val="24"/>
          <w:lang w:val="en-GB"/>
        </w:rPr>
        <w:t>might</w:t>
      </w:r>
      <w:r w:rsidR="008D2D4E" w:rsidRPr="00C27188">
        <w:rPr>
          <w:rFonts w:ascii="Times New Roman" w:hAnsi="Times New Roman" w:cs="Times New Roman"/>
          <w:color w:val="4472C4" w:themeColor="accent1"/>
          <w:sz w:val="24"/>
          <w:szCs w:val="24"/>
          <w:lang w:val="en-GB"/>
        </w:rPr>
        <w:t xml:space="preserve"> </w:t>
      </w:r>
      <w:r w:rsidR="00D703CA" w:rsidRPr="00C27188">
        <w:rPr>
          <w:rFonts w:ascii="Times New Roman" w:hAnsi="Times New Roman" w:cs="Times New Roman"/>
          <w:color w:val="4472C4" w:themeColor="accent1"/>
          <w:sz w:val="24"/>
          <w:szCs w:val="24"/>
          <w:lang w:val="en-GB"/>
        </w:rPr>
        <w:t xml:space="preserve">be </w:t>
      </w:r>
      <w:r w:rsidR="008D2D4E" w:rsidRPr="00C27188">
        <w:rPr>
          <w:rFonts w:ascii="Times New Roman" w:hAnsi="Times New Roman" w:cs="Times New Roman"/>
          <w:color w:val="4472C4" w:themeColor="accent1"/>
          <w:sz w:val="24"/>
          <w:szCs w:val="24"/>
          <w:lang w:val="en-GB"/>
        </w:rPr>
        <w:t xml:space="preserve">not returned if it is established </w:t>
      </w:r>
      <w:r w:rsidR="003B58CD" w:rsidRPr="00C27188">
        <w:rPr>
          <w:rFonts w:ascii="Times New Roman" w:hAnsi="Times New Roman" w:cs="Times New Roman"/>
          <w:color w:val="4472C4" w:themeColor="accent1"/>
          <w:sz w:val="24"/>
          <w:szCs w:val="24"/>
          <w:lang w:val="en-GB"/>
        </w:rPr>
        <w:t xml:space="preserve">that </w:t>
      </w:r>
      <w:r w:rsidR="008D2D4E" w:rsidRPr="00C27188">
        <w:rPr>
          <w:rFonts w:ascii="Times New Roman" w:hAnsi="Times New Roman" w:cs="Times New Roman"/>
          <w:color w:val="4472C4" w:themeColor="accent1"/>
          <w:sz w:val="24"/>
          <w:szCs w:val="24"/>
          <w:lang w:val="en-GB"/>
        </w:rPr>
        <w:t xml:space="preserve">he or she has integrated </w:t>
      </w:r>
      <w:r w:rsidR="00D703CA" w:rsidRPr="00C27188">
        <w:rPr>
          <w:rFonts w:ascii="Times New Roman" w:hAnsi="Times New Roman" w:cs="Times New Roman"/>
          <w:color w:val="4472C4" w:themeColor="accent1"/>
          <w:sz w:val="24"/>
          <w:szCs w:val="24"/>
          <w:lang w:val="en-GB"/>
        </w:rPr>
        <w:t>in Lithuania</w:t>
      </w:r>
      <w:r w:rsidR="008D2D4E" w:rsidRPr="00C27188">
        <w:rPr>
          <w:rFonts w:ascii="Times New Roman" w:hAnsi="Times New Roman" w:cs="Times New Roman"/>
          <w:color w:val="4472C4" w:themeColor="accent1"/>
          <w:sz w:val="24"/>
          <w:szCs w:val="24"/>
          <w:lang w:val="en-GB"/>
        </w:rPr>
        <w:t xml:space="preserve"> </w:t>
      </w:r>
      <w:r w:rsidR="00D703CA" w:rsidRPr="00C27188">
        <w:rPr>
          <w:rFonts w:ascii="Times New Roman" w:hAnsi="Times New Roman" w:cs="Times New Roman"/>
          <w:color w:val="4472C4" w:themeColor="accent1"/>
          <w:sz w:val="24"/>
          <w:szCs w:val="24"/>
          <w:lang w:val="en-GB"/>
        </w:rPr>
        <w:t xml:space="preserve">(speaks the language, goes to school, has friends and extended family, etc.) </w:t>
      </w:r>
      <w:r w:rsidR="008D2D4E" w:rsidRPr="00C27188">
        <w:rPr>
          <w:rFonts w:ascii="Times New Roman" w:hAnsi="Times New Roman" w:cs="Times New Roman"/>
          <w:color w:val="4472C4" w:themeColor="accent1"/>
          <w:sz w:val="24"/>
          <w:szCs w:val="24"/>
          <w:lang w:val="en-GB"/>
        </w:rPr>
        <w:t xml:space="preserve">and it is in his/her best interest to continue residing here. </w:t>
      </w:r>
      <w:r w:rsidR="003B58CD" w:rsidRPr="00C27188">
        <w:rPr>
          <w:rFonts w:ascii="Times New Roman" w:hAnsi="Times New Roman" w:cs="Times New Roman"/>
          <w:color w:val="4472C4" w:themeColor="accent1"/>
          <w:sz w:val="24"/>
          <w:szCs w:val="24"/>
          <w:lang w:val="en-GB"/>
        </w:rPr>
        <w:t xml:space="preserve">Such a ground of refusal also excludes </w:t>
      </w:r>
      <w:r w:rsidRPr="00C27188">
        <w:rPr>
          <w:rFonts w:ascii="Times New Roman" w:hAnsi="Times New Roman" w:cs="Times New Roman"/>
          <w:color w:val="4472C4" w:themeColor="accent1"/>
          <w:sz w:val="24"/>
          <w:szCs w:val="24"/>
          <w:lang w:val="en-GB"/>
        </w:rPr>
        <w:t xml:space="preserve">the </w:t>
      </w:r>
      <w:r w:rsidR="003B58CD" w:rsidRPr="00C27188">
        <w:rPr>
          <w:rFonts w:ascii="Times New Roman" w:hAnsi="Times New Roman" w:cs="Times New Roman"/>
          <w:color w:val="4472C4" w:themeColor="accent1"/>
          <w:sz w:val="24"/>
          <w:szCs w:val="24"/>
          <w:lang w:val="en-GB"/>
        </w:rPr>
        <w:t xml:space="preserve">possibility </w:t>
      </w:r>
      <w:r w:rsidR="00E04FCA" w:rsidRPr="00C27188">
        <w:rPr>
          <w:rFonts w:ascii="Times New Roman" w:hAnsi="Times New Roman" w:cs="Times New Roman"/>
          <w:color w:val="4472C4" w:themeColor="accent1"/>
          <w:sz w:val="24"/>
          <w:szCs w:val="24"/>
          <w:lang w:val="en-GB"/>
        </w:rPr>
        <w:t>of applying</w:t>
      </w:r>
      <w:r w:rsidR="003B58CD" w:rsidRPr="00C27188">
        <w:rPr>
          <w:rFonts w:ascii="Times New Roman" w:hAnsi="Times New Roman" w:cs="Times New Roman"/>
          <w:color w:val="4472C4" w:themeColor="accent1"/>
          <w:sz w:val="24"/>
          <w:szCs w:val="24"/>
          <w:lang w:val="en-GB"/>
        </w:rPr>
        <w:t xml:space="preserve"> the Brussels IIter regulation overruling procedure.</w:t>
      </w:r>
    </w:p>
    <w:p w14:paraId="0F42711F" w14:textId="77777777" w:rsidR="00D31D1D" w:rsidRPr="00C544E3" w:rsidRDefault="00D31D1D" w:rsidP="00D31D1D">
      <w:pPr>
        <w:pStyle w:val="ListParagraph"/>
        <w:jc w:val="both"/>
        <w:rPr>
          <w:rFonts w:ascii="Times New Roman" w:hAnsi="Times New Roman" w:cs="Times New Roman"/>
        </w:rPr>
      </w:pPr>
    </w:p>
    <w:p w14:paraId="4A01E16B" w14:textId="765D9BC4" w:rsidR="007D7E71" w:rsidRDefault="00FF6026" w:rsidP="008A76E4">
      <w:pPr>
        <w:pStyle w:val="ListParagraph"/>
        <w:numPr>
          <w:ilvl w:val="0"/>
          <w:numId w:val="8"/>
        </w:numPr>
        <w:jc w:val="both"/>
        <w:rPr>
          <w:rFonts w:ascii="Times New Roman" w:hAnsi="Times New Roman" w:cs="Times New Roman"/>
          <w:b/>
          <w:bCs/>
        </w:rPr>
      </w:pPr>
      <w:r w:rsidRPr="00F90EBB">
        <w:rPr>
          <w:rFonts w:ascii="Times New Roman" w:hAnsi="Times New Roman" w:cs="Times New Roman"/>
          <w:b/>
          <w:bCs/>
        </w:rPr>
        <w:t xml:space="preserve">Please consider Article 13(1)(b) in conjunction with Article 11(6)-(8) of the Brussels </w:t>
      </w:r>
      <w:proofErr w:type="spellStart"/>
      <w:r w:rsidRPr="00F90EBB">
        <w:rPr>
          <w:rFonts w:ascii="Times New Roman" w:hAnsi="Times New Roman" w:cs="Times New Roman"/>
          <w:b/>
          <w:bCs/>
        </w:rPr>
        <w:t>IIa</w:t>
      </w:r>
      <w:proofErr w:type="spellEnd"/>
      <w:r w:rsidRPr="00F90EBB">
        <w:rPr>
          <w:rFonts w:ascii="Times New Roman" w:hAnsi="Times New Roman" w:cs="Times New Roman"/>
          <w:b/>
          <w:bCs/>
        </w:rPr>
        <w:t xml:space="preserve"> Regulation.</w:t>
      </w:r>
      <w:r w:rsidR="00002E77" w:rsidRPr="00F90EBB">
        <w:rPr>
          <w:rStyle w:val="FootnoteReference"/>
          <w:rFonts w:ascii="Times New Roman" w:hAnsi="Times New Roman" w:cs="Times New Roman"/>
          <w:b/>
          <w:bCs/>
        </w:rPr>
        <w:footnoteReference w:id="18"/>
      </w:r>
      <w:r w:rsidRPr="00F90EBB">
        <w:rPr>
          <w:rFonts w:ascii="Times New Roman" w:hAnsi="Times New Roman" w:cs="Times New Roman"/>
          <w:b/>
          <w:bCs/>
        </w:rPr>
        <w:t xml:space="preserve"> </w:t>
      </w:r>
      <w:r w:rsidR="00401457" w:rsidRPr="00F90EBB">
        <w:rPr>
          <w:rFonts w:ascii="Times New Roman" w:hAnsi="Times New Roman" w:cs="Times New Roman"/>
          <w:b/>
          <w:bCs/>
        </w:rPr>
        <w:t xml:space="preserve">Has the application been smooth and explain why/why not? </w:t>
      </w:r>
    </w:p>
    <w:p w14:paraId="4C19AFC4" w14:textId="77777777" w:rsidR="00F26201" w:rsidRDefault="00F26201" w:rsidP="00F90EBB">
      <w:pPr>
        <w:jc w:val="both"/>
        <w:rPr>
          <w:rFonts w:ascii="Times New Roman" w:hAnsi="Times New Roman" w:cs="Times New Roman"/>
          <w:b/>
          <w:bCs/>
        </w:rPr>
      </w:pPr>
    </w:p>
    <w:p w14:paraId="5F1E66CC" w14:textId="6031B5A0" w:rsidR="00F90EBB" w:rsidRDefault="007437FA" w:rsidP="00F90EBB">
      <w:pPr>
        <w:jc w:val="both"/>
        <w:rPr>
          <w:rFonts w:ascii="Times New Roman" w:hAnsi="Times New Roman" w:cs="Times New Roman"/>
          <w:color w:val="4472C4" w:themeColor="accent1"/>
          <w:sz w:val="24"/>
          <w:szCs w:val="24"/>
        </w:rPr>
      </w:pPr>
      <w:r w:rsidRPr="00C27188">
        <w:rPr>
          <w:rFonts w:ascii="Times New Roman" w:hAnsi="Times New Roman" w:cs="Times New Roman"/>
          <w:color w:val="4472C4" w:themeColor="accent1"/>
          <w:sz w:val="24"/>
          <w:szCs w:val="24"/>
        </w:rPr>
        <w:t xml:space="preserve">As Lithuanian courts rarely consider adequate arrangements and often refuse the return of a younger child, it is likely that there are foreign court decisions overruling Lithuanian non-return decisions. </w:t>
      </w:r>
      <w:r w:rsidR="00F26201" w:rsidRPr="00C27188">
        <w:rPr>
          <w:rFonts w:ascii="Times New Roman" w:hAnsi="Times New Roman" w:cs="Times New Roman"/>
          <w:color w:val="4472C4" w:themeColor="accent1"/>
          <w:sz w:val="24"/>
          <w:szCs w:val="24"/>
        </w:rPr>
        <w:t xml:space="preserve">Perhaps the most famous example of this type of situation in Lithuanian practice was the </w:t>
      </w:r>
      <w:r w:rsidR="000C18DB" w:rsidRPr="00C27188">
        <w:rPr>
          <w:rFonts w:ascii="Times New Roman" w:hAnsi="Times New Roman" w:cs="Times New Roman"/>
          <w:color w:val="4472C4" w:themeColor="accent1"/>
          <w:sz w:val="24"/>
          <w:szCs w:val="24"/>
        </w:rPr>
        <w:t xml:space="preserve">CJEU </w:t>
      </w:r>
      <w:r w:rsidR="00F26201" w:rsidRPr="00C27188">
        <w:rPr>
          <w:rFonts w:ascii="Times New Roman" w:hAnsi="Times New Roman" w:cs="Times New Roman"/>
          <w:i/>
          <w:iCs/>
          <w:color w:val="4472C4" w:themeColor="accent1"/>
          <w:sz w:val="24"/>
          <w:szCs w:val="24"/>
        </w:rPr>
        <w:t>Rinau</w:t>
      </w:r>
      <w:r w:rsidR="00F26201" w:rsidRPr="00C27188">
        <w:rPr>
          <w:rFonts w:ascii="Times New Roman" w:hAnsi="Times New Roman" w:cs="Times New Roman"/>
          <w:color w:val="4472C4" w:themeColor="accent1"/>
          <w:sz w:val="24"/>
          <w:szCs w:val="24"/>
        </w:rPr>
        <w:t xml:space="preserve"> case.</w:t>
      </w:r>
      <w:r w:rsidR="00F26201" w:rsidRPr="00C27188">
        <w:rPr>
          <w:rStyle w:val="FootnoteReference"/>
          <w:rFonts w:ascii="Times New Roman" w:eastAsiaTheme="majorEastAsia" w:hAnsi="Times New Roman" w:cs="Times New Roman"/>
          <w:color w:val="4472C4" w:themeColor="accent1"/>
          <w:sz w:val="24"/>
          <w:szCs w:val="24"/>
        </w:rPr>
        <w:footnoteReference w:id="19"/>
      </w:r>
      <w:r w:rsidR="00E04FCA" w:rsidRPr="00C27188">
        <w:rPr>
          <w:rFonts w:ascii="Times New Roman" w:hAnsi="Times New Roman" w:cs="Times New Roman"/>
          <w:color w:val="4472C4" w:themeColor="accent1"/>
          <w:sz w:val="24"/>
          <w:szCs w:val="24"/>
        </w:rPr>
        <w:t xml:space="preserve"> </w:t>
      </w:r>
      <w:r w:rsidR="00D703CA" w:rsidRPr="00C27188">
        <w:rPr>
          <w:rFonts w:ascii="Times New Roman" w:hAnsi="Times New Roman" w:cs="Times New Roman"/>
          <w:color w:val="4472C4" w:themeColor="accent1"/>
          <w:sz w:val="24"/>
          <w:szCs w:val="24"/>
        </w:rPr>
        <w:t xml:space="preserve">However, as noted above, </w:t>
      </w:r>
      <w:r w:rsidR="00FC1C63">
        <w:rPr>
          <w:rFonts w:ascii="Times New Roman" w:hAnsi="Times New Roman" w:cs="Times New Roman"/>
          <w:color w:val="4472C4" w:themeColor="accent1"/>
          <w:sz w:val="24"/>
          <w:szCs w:val="24"/>
        </w:rPr>
        <w:t xml:space="preserve">a court of the child’s habitual residence before the abduction, </w:t>
      </w:r>
      <w:r w:rsidR="00D703CA" w:rsidRPr="00C27188">
        <w:rPr>
          <w:rFonts w:ascii="Times New Roman" w:hAnsi="Times New Roman" w:cs="Times New Roman"/>
          <w:color w:val="4472C4" w:themeColor="accent1"/>
          <w:sz w:val="24"/>
          <w:szCs w:val="24"/>
        </w:rPr>
        <w:t xml:space="preserve">might </w:t>
      </w:r>
      <w:r w:rsidR="00FC1C63">
        <w:rPr>
          <w:rFonts w:ascii="Times New Roman" w:hAnsi="Times New Roman" w:cs="Times New Roman"/>
          <w:color w:val="4472C4" w:themeColor="accent1"/>
          <w:sz w:val="24"/>
          <w:szCs w:val="24"/>
        </w:rPr>
        <w:t>not be in a position</w:t>
      </w:r>
      <w:r w:rsidR="00D703CA" w:rsidRPr="00C27188">
        <w:rPr>
          <w:rFonts w:ascii="Times New Roman" w:hAnsi="Times New Roman" w:cs="Times New Roman"/>
          <w:color w:val="4472C4" w:themeColor="accent1"/>
          <w:sz w:val="24"/>
          <w:szCs w:val="24"/>
        </w:rPr>
        <w:t xml:space="preserve"> to apply Article 13(1)(b) in conjunction with Article 11(6)-(8) of the Brussels </w:t>
      </w:r>
      <w:proofErr w:type="spellStart"/>
      <w:r w:rsidR="00D703CA" w:rsidRPr="00C27188">
        <w:rPr>
          <w:rFonts w:ascii="Times New Roman" w:hAnsi="Times New Roman" w:cs="Times New Roman"/>
          <w:color w:val="4472C4" w:themeColor="accent1"/>
          <w:sz w:val="24"/>
          <w:szCs w:val="24"/>
        </w:rPr>
        <w:t>IIa</w:t>
      </w:r>
      <w:proofErr w:type="spellEnd"/>
      <w:r w:rsidR="00D703CA" w:rsidRPr="00C27188">
        <w:rPr>
          <w:rFonts w:ascii="Times New Roman" w:hAnsi="Times New Roman" w:cs="Times New Roman"/>
          <w:color w:val="4472C4" w:themeColor="accent1"/>
          <w:sz w:val="24"/>
          <w:szCs w:val="24"/>
        </w:rPr>
        <w:t xml:space="preserve"> Regulation as </w:t>
      </w:r>
      <w:r w:rsidR="00D35FC8" w:rsidRPr="00C27188">
        <w:rPr>
          <w:rFonts w:ascii="Times New Roman" w:hAnsi="Times New Roman" w:cs="Times New Roman"/>
          <w:color w:val="4472C4" w:themeColor="accent1"/>
          <w:sz w:val="24"/>
          <w:szCs w:val="24"/>
        </w:rPr>
        <w:t xml:space="preserve">often </w:t>
      </w:r>
      <w:r w:rsidR="00D703CA" w:rsidRPr="00C27188">
        <w:rPr>
          <w:rFonts w:ascii="Times New Roman" w:hAnsi="Times New Roman" w:cs="Times New Roman"/>
          <w:color w:val="4472C4" w:themeColor="accent1"/>
          <w:sz w:val="24"/>
          <w:szCs w:val="24"/>
        </w:rPr>
        <w:t xml:space="preserve">Article 12 of the Hague Convention is used </w:t>
      </w:r>
      <w:r w:rsidR="00FC1C63">
        <w:rPr>
          <w:rFonts w:ascii="Times New Roman" w:hAnsi="Times New Roman" w:cs="Times New Roman"/>
          <w:color w:val="4472C4" w:themeColor="accent1"/>
          <w:sz w:val="24"/>
          <w:szCs w:val="24"/>
        </w:rPr>
        <w:t xml:space="preserve">in Lithuania </w:t>
      </w:r>
      <w:r w:rsidR="00D703CA" w:rsidRPr="00C27188">
        <w:rPr>
          <w:rFonts w:ascii="Times New Roman" w:hAnsi="Times New Roman" w:cs="Times New Roman"/>
          <w:color w:val="4472C4" w:themeColor="accent1"/>
          <w:sz w:val="24"/>
          <w:szCs w:val="24"/>
        </w:rPr>
        <w:t xml:space="preserve">to refuse </w:t>
      </w:r>
      <w:r w:rsidR="00FC1C63">
        <w:rPr>
          <w:rFonts w:ascii="Times New Roman" w:hAnsi="Times New Roman" w:cs="Times New Roman"/>
          <w:color w:val="4472C4" w:themeColor="accent1"/>
          <w:sz w:val="24"/>
          <w:szCs w:val="24"/>
        </w:rPr>
        <w:t xml:space="preserve">the </w:t>
      </w:r>
      <w:r w:rsidR="00D703CA" w:rsidRPr="00C27188">
        <w:rPr>
          <w:rFonts w:ascii="Times New Roman" w:hAnsi="Times New Roman" w:cs="Times New Roman"/>
          <w:color w:val="4472C4" w:themeColor="accent1"/>
          <w:sz w:val="24"/>
          <w:szCs w:val="24"/>
        </w:rPr>
        <w:t>return.</w:t>
      </w:r>
    </w:p>
    <w:p w14:paraId="3278A784" w14:textId="4788240C" w:rsidR="0091351D" w:rsidRPr="00DD6317" w:rsidRDefault="00D703CA" w:rsidP="00F90EBB">
      <w:pPr>
        <w:jc w:val="both"/>
        <w:rPr>
          <w:rFonts w:ascii="Times New Roman" w:hAnsi="Times New Roman" w:cs="Times New Roman"/>
          <w:color w:val="4472C4" w:themeColor="accent1"/>
          <w:sz w:val="24"/>
          <w:szCs w:val="24"/>
        </w:rPr>
      </w:pPr>
      <w:r w:rsidRPr="00C27188">
        <w:rPr>
          <w:rFonts w:ascii="Times New Roman" w:hAnsi="Times New Roman" w:cs="Times New Roman"/>
          <w:color w:val="4472C4" w:themeColor="accent1"/>
          <w:sz w:val="24"/>
          <w:szCs w:val="24"/>
        </w:rPr>
        <w:t>As to Lithuanian courts referring to the ‘overruling procedure’</w:t>
      </w:r>
      <w:r w:rsidR="00E04FCA" w:rsidRPr="00C27188">
        <w:rPr>
          <w:rFonts w:ascii="Times New Roman" w:hAnsi="Times New Roman" w:cs="Times New Roman"/>
          <w:color w:val="4472C4" w:themeColor="accent1"/>
          <w:sz w:val="24"/>
          <w:szCs w:val="24"/>
        </w:rPr>
        <w:t xml:space="preserve">, I did not find any </w:t>
      </w:r>
      <w:r w:rsidR="00D25976" w:rsidRPr="00C27188">
        <w:rPr>
          <w:rFonts w:ascii="Times New Roman" w:hAnsi="Times New Roman" w:cs="Times New Roman"/>
          <w:color w:val="4472C4" w:themeColor="accent1"/>
          <w:sz w:val="24"/>
          <w:szCs w:val="24"/>
        </w:rPr>
        <w:t xml:space="preserve">higher instance </w:t>
      </w:r>
      <w:r w:rsidR="00E04FCA" w:rsidRPr="00C27188">
        <w:rPr>
          <w:rFonts w:ascii="Times New Roman" w:hAnsi="Times New Roman" w:cs="Times New Roman"/>
          <w:color w:val="4472C4" w:themeColor="accent1"/>
          <w:sz w:val="24"/>
          <w:szCs w:val="24"/>
        </w:rPr>
        <w:t>Lithuanian court judgement</w:t>
      </w:r>
      <w:r w:rsidR="00D25976" w:rsidRPr="00C27188">
        <w:rPr>
          <w:rFonts w:ascii="Times New Roman" w:hAnsi="Times New Roman" w:cs="Times New Roman"/>
          <w:color w:val="4472C4" w:themeColor="accent1"/>
          <w:sz w:val="24"/>
          <w:szCs w:val="24"/>
        </w:rPr>
        <w:t xml:space="preserve"> that would be referring to Article 11(6)-(8) of the Brussels </w:t>
      </w:r>
      <w:proofErr w:type="spellStart"/>
      <w:r w:rsidR="00D25976" w:rsidRPr="00C27188">
        <w:rPr>
          <w:rFonts w:ascii="Times New Roman" w:hAnsi="Times New Roman" w:cs="Times New Roman"/>
          <w:color w:val="4472C4" w:themeColor="accent1"/>
          <w:sz w:val="24"/>
          <w:szCs w:val="24"/>
        </w:rPr>
        <w:t>IIa</w:t>
      </w:r>
      <w:proofErr w:type="spellEnd"/>
      <w:r w:rsidR="00D25976" w:rsidRPr="00C27188">
        <w:rPr>
          <w:rFonts w:ascii="Times New Roman" w:hAnsi="Times New Roman" w:cs="Times New Roman"/>
          <w:color w:val="4472C4" w:themeColor="accent1"/>
          <w:sz w:val="24"/>
          <w:szCs w:val="24"/>
        </w:rPr>
        <w:t xml:space="preserve"> Regulation and </w:t>
      </w:r>
      <w:r w:rsidR="00E04FCA" w:rsidRPr="00C27188">
        <w:rPr>
          <w:rFonts w:ascii="Times New Roman" w:hAnsi="Times New Roman" w:cs="Times New Roman"/>
          <w:color w:val="4472C4" w:themeColor="accent1"/>
          <w:sz w:val="24"/>
          <w:szCs w:val="24"/>
        </w:rPr>
        <w:t>overruling the non-return decision issued in another EU Member State.</w:t>
      </w:r>
      <w:r w:rsidR="007677F8" w:rsidRPr="00C27188">
        <w:rPr>
          <w:rStyle w:val="FootnoteReference"/>
          <w:rFonts w:ascii="Times New Roman" w:hAnsi="Times New Roman" w:cs="Times New Roman"/>
          <w:color w:val="4472C4" w:themeColor="accent1"/>
          <w:sz w:val="24"/>
          <w:szCs w:val="24"/>
        </w:rPr>
        <w:footnoteReference w:id="20"/>
      </w:r>
      <w:r w:rsidR="00F158F6">
        <w:rPr>
          <w:rFonts w:ascii="Times New Roman" w:hAnsi="Times New Roman" w:cs="Times New Roman"/>
          <w:color w:val="4472C4" w:themeColor="accent1"/>
          <w:sz w:val="24"/>
          <w:szCs w:val="24"/>
        </w:rPr>
        <w:t xml:space="preserve"> </w:t>
      </w:r>
      <w:r w:rsidR="00D35FC8">
        <w:rPr>
          <w:rFonts w:ascii="Times New Roman" w:hAnsi="Times New Roman" w:cs="Times New Roman"/>
          <w:color w:val="4472C4" w:themeColor="accent1"/>
          <w:sz w:val="24"/>
          <w:szCs w:val="24"/>
        </w:rPr>
        <w:t xml:space="preserve">That </w:t>
      </w:r>
      <w:r w:rsidR="00F158F6">
        <w:rPr>
          <w:rFonts w:ascii="Times New Roman" w:hAnsi="Times New Roman" w:cs="Times New Roman"/>
          <w:color w:val="4472C4" w:themeColor="accent1"/>
          <w:sz w:val="24"/>
          <w:szCs w:val="24"/>
        </w:rPr>
        <w:t xml:space="preserve">this ‘overruling possibility’ </w:t>
      </w:r>
      <w:r w:rsidR="00E27282">
        <w:rPr>
          <w:rFonts w:ascii="Times New Roman" w:hAnsi="Times New Roman" w:cs="Times New Roman"/>
          <w:color w:val="4472C4" w:themeColor="accent1"/>
          <w:sz w:val="24"/>
          <w:szCs w:val="24"/>
        </w:rPr>
        <w:t>wa</w:t>
      </w:r>
      <w:r w:rsidR="00F158F6">
        <w:rPr>
          <w:rFonts w:ascii="Times New Roman" w:hAnsi="Times New Roman" w:cs="Times New Roman"/>
          <w:color w:val="4472C4" w:themeColor="accent1"/>
          <w:sz w:val="24"/>
          <w:szCs w:val="24"/>
        </w:rPr>
        <w:t xml:space="preserve">s hardly ever used </w:t>
      </w:r>
      <w:r w:rsidR="00D35FC8">
        <w:rPr>
          <w:rFonts w:ascii="Times New Roman" w:hAnsi="Times New Roman" w:cs="Times New Roman"/>
          <w:color w:val="4472C4" w:themeColor="accent1"/>
          <w:sz w:val="24"/>
          <w:szCs w:val="24"/>
        </w:rPr>
        <w:t xml:space="preserve">in Lithuania </w:t>
      </w:r>
      <w:r w:rsidR="00F158F6">
        <w:rPr>
          <w:rFonts w:ascii="Times New Roman" w:hAnsi="Times New Roman" w:cs="Times New Roman"/>
          <w:color w:val="4472C4" w:themeColor="accent1"/>
          <w:sz w:val="24"/>
          <w:szCs w:val="24"/>
        </w:rPr>
        <w:t xml:space="preserve">was also confirmed by the representative of the </w:t>
      </w:r>
      <w:r w:rsidR="00F158F6" w:rsidRPr="00F158F6">
        <w:rPr>
          <w:rFonts w:ascii="Times New Roman" w:hAnsi="Times New Roman" w:cs="Times New Roman"/>
          <w:color w:val="4472C4" w:themeColor="accent1"/>
          <w:sz w:val="24"/>
          <w:szCs w:val="24"/>
        </w:rPr>
        <w:t xml:space="preserve">State Child Rights Protection and Adoption Service </w:t>
      </w:r>
      <w:r w:rsidR="00F158F6">
        <w:rPr>
          <w:rFonts w:ascii="Times New Roman" w:hAnsi="Times New Roman" w:cs="Times New Roman"/>
          <w:color w:val="4472C4" w:themeColor="accent1"/>
          <w:sz w:val="24"/>
          <w:szCs w:val="24"/>
        </w:rPr>
        <w:t>whom I contacted.</w:t>
      </w:r>
    </w:p>
    <w:p w14:paraId="61E6C89F" w14:textId="77777777" w:rsidR="00D703CA" w:rsidRDefault="00D703CA" w:rsidP="008A76E4">
      <w:pPr>
        <w:pStyle w:val="Heading2"/>
        <w:jc w:val="both"/>
      </w:pPr>
    </w:p>
    <w:p w14:paraId="60BCB950" w14:textId="77931DAF" w:rsidR="00DA5030" w:rsidRPr="00471DB8" w:rsidRDefault="00DA5030" w:rsidP="008A76E4">
      <w:pPr>
        <w:pStyle w:val="Heading2"/>
        <w:jc w:val="both"/>
        <w:rPr>
          <w:lang w:val="en-US"/>
        </w:rPr>
      </w:pPr>
      <w:bookmarkStart w:id="3" w:name="_Toc122349473"/>
      <w:r w:rsidRPr="00C544E3">
        <w:t>Article 13(2)</w:t>
      </w:r>
      <w:bookmarkEnd w:id="3"/>
    </w:p>
    <w:p w14:paraId="4020219C" w14:textId="77777777" w:rsidR="00DA5030" w:rsidRPr="00C544E3" w:rsidRDefault="00DA5030" w:rsidP="008A76E4">
      <w:pPr>
        <w:jc w:val="both"/>
      </w:pPr>
    </w:p>
    <w:p w14:paraId="00C99B7E" w14:textId="17F6569C" w:rsidR="00F77372" w:rsidRPr="00F90EBB" w:rsidRDefault="00F77372" w:rsidP="008A76E4">
      <w:pPr>
        <w:pStyle w:val="ListParagraph"/>
        <w:numPr>
          <w:ilvl w:val="0"/>
          <w:numId w:val="8"/>
        </w:numPr>
        <w:jc w:val="both"/>
        <w:rPr>
          <w:rFonts w:ascii="Times New Roman" w:hAnsi="Times New Roman" w:cs="Times New Roman"/>
        </w:rPr>
      </w:pPr>
      <w:r w:rsidRPr="00F90EBB">
        <w:rPr>
          <w:rFonts w:ascii="Times New Roman" w:hAnsi="Times New Roman" w:cs="Times New Roman"/>
        </w:rPr>
        <w:t>Please consider Article 13(2)</w:t>
      </w:r>
      <w:r w:rsidR="00A91F59" w:rsidRPr="00F90EBB">
        <w:rPr>
          <w:rFonts w:ascii="Times New Roman" w:hAnsi="Times New Roman" w:cs="Times New Roman"/>
        </w:rPr>
        <w:t xml:space="preserve"> -</w:t>
      </w:r>
      <w:r w:rsidRPr="00F90EBB">
        <w:rPr>
          <w:rFonts w:ascii="Times New Roman" w:hAnsi="Times New Roman" w:cs="Times New Roman"/>
        </w:rPr>
        <w:t xml:space="preserve"> the “child’s views.” What is the main approach in your jurisdiction</w:t>
      </w:r>
      <w:r w:rsidR="00A91F59" w:rsidRPr="00F90EBB">
        <w:rPr>
          <w:rFonts w:ascii="Times New Roman" w:hAnsi="Times New Roman" w:cs="Times New Roman"/>
        </w:rPr>
        <w:t xml:space="preserve"> in respect of matters such as the minimum age of the child</w:t>
      </w:r>
      <w:r w:rsidR="009851C5" w:rsidRPr="00F90EBB">
        <w:rPr>
          <w:rFonts w:ascii="Times New Roman" w:hAnsi="Times New Roman" w:cs="Times New Roman"/>
        </w:rPr>
        <w:t xml:space="preserve"> to use this provision</w:t>
      </w:r>
      <w:r w:rsidR="00A91F59" w:rsidRPr="00F90EBB">
        <w:rPr>
          <w:rFonts w:ascii="Times New Roman" w:hAnsi="Times New Roman" w:cs="Times New Roman"/>
        </w:rPr>
        <w:t xml:space="preserve">, </w:t>
      </w:r>
      <w:r w:rsidR="00A32771" w:rsidRPr="00F90EBB">
        <w:rPr>
          <w:rFonts w:ascii="Times New Roman" w:hAnsi="Times New Roman" w:cs="Times New Roman"/>
        </w:rPr>
        <w:t xml:space="preserve">possible </w:t>
      </w:r>
      <w:r w:rsidR="00A91F59" w:rsidRPr="00F90EBB">
        <w:rPr>
          <w:rFonts w:ascii="Times New Roman" w:hAnsi="Times New Roman" w:cs="Times New Roman"/>
        </w:rPr>
        <w:t xml:space="preserve">automatic hearing of the child in non-intra EU cases, </w:t>
      </w:r>
      <w:r w:rsidR="00A32771" w:rsidRPr="00F90EBB">
        <w:rPr>
          <w:rFonts w:ascii="Times New Roman" w:hAnsi="Times New Roman" w:cs="Times New Roman"/>
        </w:rPr>
        <w:t>court’s approach to the hearing of the child (e.g., direct communication with the judge; through a child psychologist report; separate representation, etc.)</w:t>
      </w:r>
      <w:r w:rsidRPr="00F90EBB">
        <w:rPr>
          <w:rFonts w:ascii="Times New Roman" w:hAnsi="Times New Roman" w:cs="Times New Roman"/>
        </w:rPr>
        <w:t xml:space="preserve">? Please note any differences in approach between your jurisdiction and other jurisdictions </w:t>
      </w:r>
      <w:r w:rsidR="00A91F59" w:rsidRPr="00F90EBB">
        <w:rPr>
          <w:rFonts w:ascii="Times New Roman" w:hAnsi="Times New Roman" w:cs="Times New Roman"/>
        </w:rPr>
        <w:t xml:space="preserve">that </w:t>
      </w:r>
      <w:r w:rsidRPr="00F90EBB">
        <w:rPr>
          <w:rFonts w:ascii="Times New Roman" w:hAnsi="Times New Roman" w:cs="Times New Roman"/>
        </w:rPr>
        <w:t xml:space="preserve">you are aware of. </w:t>
      </w:r>
    </w:p>
    <w:p w14:paraId="60654FF9" w14:textId="737EFB76" w:rsidR="00704BDE" w:rsidRDefault="00704BDE" w:rsidP="00704BDE">
      <w:pPr>
        <w:jc w:val="both"/>
        <w:rPr>
          <w:rFonts w:ascii="Times New Roman" w:hAnsi="Times New Roman" w:cs="Times New Roman"/>
        </w:rPr>
      </w:pPr>
    </w:p>
    <w:p w14:paraId="6981C69D" w14:textId="41A8CEEC" w:rsidR="002155D6" w:rsidRPr="00C27188" w:rsidRDefault="002155D6" w:rsidP="00704BDE">
      <w:pPr>
        <w:jc w:val="both"/>
        <w:rPr>
          <w:rFonts w:ascii="Times New Roman" w:hAnsi="Times New Roman" w:cs="Times New Roman"/>
          <w:color w:val="4472C4" w:themeColor="accent1"/>
          <w:sz w:val="24"/>
          <w:szCs w:val="24"/>
        </w:rPr>
      </w:pPr>
      <w:r w:rsidRPr="00C27188">
        <w:rPr>
          <w:rFonts w:ascii="Times New Roman" w:hAnsi="Times New Roman" w:cs="Times New Roman"/>
          <w:color w:val="4472C4" w:themeColor="accent1"/>
          <w:sz w:val="24"/>
          <w:szCs w:val="24"/>
        </w:rPr>
        <w:t xml:space="preserve">International and EU instruments consistently state that the child's views should be </w:t>
      </w:r>
      <w:r w:rsidR="00480A51" w:rsidRPr="00C27188">
        <w:rPr>
          <w:rFonts w:ascii="Times New Roman" w:hAnsi="Times New Roman" w:cs="Times New Roman"/>
          <w:color w:val="4472C4" w:themeColor="accent1"/>
          <w:sz w:val="24"/>
          <w:szCs w:val="24"/>
        </w:rPr>
        <w:t>heard</w:t>
      </w:r>
      <w:r w:rsidRPr="00C27188">
        <w:rPr>
          <w:rFonts w:ascii="Times New Roman" w:hAnsi="Times New Roman" w:cs="Times New Roman"/>
          <w:color w:val="4472C4" w:themeColor="accent1"/>
          <w:sz w:val="24"/>
          <w:szCs w:val="24"/>
        </w:rPr>
        <w:t xml:space="preserve"> according to his or her age and maturity. However, neither the </w:t>
      </w:r>
      <w:r w:rsidR="00480A51" w:rsidRPr="00C27188">
        <w:rPr>
          <w:rFonts w:ascii="Times New Roman" w:hAnsi="Times New Roman" w:cs="Times New Roman"/>
          <w:color w:val="4472C4" w:themeColor="accent1"/>
          <w:sz w:val="24"/>
          <w:szCs w:val="24"/>
        </w:rPr>
        <w:t>UN</w:t>
      </w:r>
      <w:r w:rsidRPr="00C27188">
        <w:rPr>
          <w:rFonts w:ascii="Times New Roman" w:hAnsi="Times New Roman" w:cs="Times New Roman"/>
          <w:color w:val="4472C4" w:themeColor="accent1"/>
          <w:sz w:val="24"/>
          <w:szCs w:val="24"/>
        </w:rPr>
        <w:t xml:space="preserve"> Convention on the Rights of the Child, Council of Europe documents, the Charter of Fundamental Rights of the European Union, nor the Brussels IIter Regulation </w:t>
      </w:r>
      <w:r w:rsidR="00AE27B9">
        <w:rPr>
          <w:rFonts w:ascii="Times New Roman" w:hAnsi="Times New Roman" w:cs="Times New Roman"/>
          <w:color w:val="4472C4" w:themeColor="accent1"/>
          <w:sz w:val="24"/>
          <w:szCs w:val="24"/>
        </w:rPr>
        <w:t>provides</w:t>
      </w:r>
      <w:r w:rsidRPr="00C27188">
        <w:rPr>
          <w:rFonts w:ascii="Times New Roman" w:hAnsi="Times New Roman" w:cs="Times New Roman"/>
          <w:color w:val="4472C4" w:themeColor="accent1"/>
          <w:sz w:val="24"/>
          <w:szCs w:val="24"/>
        </w:rPr>
        <w:t xml:space="preserve"> a clear indication of the age at which a child should be considered to have attained the appropriate age and maturity. On the contrary, the </w:t>
      </w:r>
      <w:r w:rsidR="00480A51" w:rsidRPr="00C27188">
        <w:rPr>
          <w:rFonts w:ascii="Times New Roman" w:hAnsi="Times New Roman" w:cs="Times New Roman"/>
          <w:color w:val="4472C4" w:themeColor="accent1"/>
          <w:sz w:val="24"/>
          <w:szCs w:val="24"/>
        </w:rPr>
        <w:t>UN</w:t>
      </w:r>
      <w:r w:rsidRPr="00C27188">
        <w:rPr>
          <w:rFonts w:ascii="Times New Roman" w:hAnsi="Times New Roman" w:cs="Times New Roman"/>
          <w:color w:val="4472C4" w:themeColor="accent1"/>
          <w:sz w:val="24"/>
          <w:szCs w:val="24"/>
        </w:rPr>
        <w:t xml:space="preserve"> Committee on the Rights of the Child considers that such an age limit is even undesirable.</w:t>
      </w:r>
      <w:r w:rsidRPr="00C27188">
        <w:rPr>
          <w:rStyle w:val="FootnoteReference"/>
          <w:rFonts w:ascii="Times New Roman" w:eastAsiaTheme="majorEastAsia" w:hAnsi="Times New Roman" w:cs="Times New Roman"/>
          <w:color w:val="4472C4" w:themeColor="accent1"/>
          <w:sz w:val="24"/>
          <w:szCs w:val="24"/>
        </w:rPr>
        <w:footnoteReference w:id="21"/>
      </w:r>
    </w:p>
    <w:p w14:paraId="10955FD5" w14:textId="11F42E2F" w:rsidR="002155D6" w:rsidRPr="00C27188" w:rsidRDefault="002155D6" w:rsidP="00704BDE">
      <w:pPr>
        <w:jc w:val="both"/>
        <w:rPr>
          <w:rFonts w:ascii="Times New Roman" w:hAnsi="Times New Roman" w:cs="Times New Roman"/>
          <w:color w:val="4472C4" w:themeColor="accent1"/>
          <w:sz w:val="24"/>
          <w:szCs w:val="24"/>
        </w:rPr>
      </w:pPr>
      <w:r w:rsidRPr="00C27188">
        <w:rPr>
          <w:rFonts w:ascii="Times New Roman" w:hAnsi="Times New Roman" w:cs="Times New Roman"/>
          <w:color w:val="4472C4" w:themeColor="accent1"/>
          <w:sz w:val="24"/>
          <w:szCs w:val="24"/>
        </w:rPr>
        <w:t>Countries have very different approaches and practices in this respect. Some countries do not have a minimum age at which a child should be heard (</w:t>
      </w:r>
      <w:r w:rsidR="00AE27B9">
        <w:rPr>
          <w:rFonts w:ascii="Times New Roman" w:hAnsi="Times New Roman" w:cs="Times New Roman"/>
          <w:color w:val="4472C4" w:themeColor="accent1"/>
          <w:sz w:val="24"/>
          <w:szCs w:val="24"/>
        </w:rPr>
        <w:t xml:space="preserve">e.g. </w:t>
      </w:r>
      <w:r w:rsidRPr="00C27188">
        <w:rPr>
          <w:rFonts w:ascii="Times New Roman" w:hAnsi="Times New Roman" w:cs="Times New Roman"/>
          <w:color w:val="4472C4" w:themeColor="accent1"/>
          <w:sz w:val="24"/>
          <w:szCs w:val="24"/>
        </w:rPr>
        <w:t xml:space="preserve">Croatia, Poland). In other countries, on the contrary, the legislation sets the age at which the child must be heard (Bulgaria and Romania: 10 years, Spain: 14 years, Finland: 15 years). However, in the latter countries, children below </w:t>
      </w:r>
      <w:r w:rsidR="00480A51" w:rsidRPr="00C27188">
        <w:rPr>
          <w:rFonts w:ascii="Times New Roman" w:hAnsi="Times New Roman" w:cs="Times New Roman"/>
          <w:color w:val="4472C4" w:themeColor="accent1"/>
          <w:sz w:val="24"/>
          <w:szCs w:val="24"/>
        </w:rPr>
        <w:t>such</w:t>
      </w:r>
      <w:r w:rsidRPr="00C27188">
        <w:rPr>
          <w:rFonts w:ascii="Times New Roman" w:hAnsi="Times New Roman" w:cs="Times New Roman"/>
          <w:color w:val="4472C4" w:themeColor="accent1"/>
          <w:sz w:val="24"/>
          <w:szCs w:val="24"/>
        </w:rPr>
        <w:t xml:space="preserve"> age may </w:t>
      </w:r>
      <w:r w:rsidR="00480A51" w:rsidRPr="00C27188">
        <w:rPr>
          <w:rFonts w:ascii="Times New Roman" w:hAnsi="Times New Roman" w:cs="Times New Roman"/>
          <w:color w:val="4472C4" w:themeColor="accent1"/>
          <w:sz w:val="24"/>
          <w:szCs w:val="24"/>
        </w:rPr>
        <w:t xml:space="preserve">also </w:t>
      </w:r>
      <w:r w:rsidRPr="00C27188">
        <w:rPr>
          <w:rFonts w:ascii="Times New Roman" w:hAnsi="Times New Roman" w:cs="Times New Roman"/>
          <w:color w:val="4472C4" w:themeColor="accent1"/>
          <w:sz w:val="24"/>
          <w:szCs w:val="24"/>
        </w:rPr>
        <w:t>be heard at the discretion of the court.</w:t>
      </w:r>
      <w:r w:rsidRPr="00C27188">
        <w:rPr>
          <w:rStyle w:val="FootnoteReference"/>
          <w:rFonts w:ascii="Times New Roman" w:hAnsi="Times New Roman" w:cs="Times New Roman"/>
          <w:color w:val="4472C4" w:themeColor="accent1"/>
          <w:sz w:val="24"/>
          <w:szCs w:val="24"/>
        </w:rPr>
        <w:footnoteReference w:id="22"/>
      </w:r>
    </w:p>
    <w:p w14:paraId="39285B82" w14:textId="1340D397" w:rsidR="00AB4497" w:rsidRPr="00C27188" w:rsidRDefault="00480A51" w:rsidP="00704BDE">
      <w:pPr>
        <w:jc w:val="both"/>
        <w:rPr>
          <w:rFonts w:ascii="Times New Roman" w:hAnsi="Times New Roman" w:cs="Times New Roman"/>
          <w:color w:val="4472C4" w:themeColor="accent1"/>
          <w:sz w:val="24"/>
          <w:szCs w:val="24"/>
        </w:rPr>
      </w:pPr>
      <w:r w:rsidRPr="00C27188">
        <w:rPr>
          <w:rFonts w:ascii="Times New Roman" w:hAnsi="Times New Roman" w:cs="Times New Roman"/>
          <w:color w:val="4472C4" w:themeColor="accent1"/>
          <w:sz w:val="24"/>
          <w:szCs w:val="24"/>
        </w:rPr>
        <w:t xml:space="preserve">In Lithuania, the law does not set an age limit for children to be heard, so it is left to the court to assess whether the child is able to formulate and express his or her thoughts. The law only refers to maturity and ability to formulate views. For instance, </w:t>
      </w:r>
      <w:r w:rsidR="00AB4497" w:rsidRPr="00C27188">
        <w:rPr>
          <w:rFonts w:ascii="Times New Roman" w:hAnsi="Times New Roman" w:cs="Times New Roman"/>
          <w:color w:val="4472C4" w:themeColor="accent1"/>
          <w:sz w:val="24"/>
          <w:szCs w:val="24"/>
        </w:rPr>
        <w:t xml:space="preserve">Article 3.164 of the Civil Code of the Republic of Lithuania (Participation of </w:t>
      </w:r>
      <w:r w:rsidR="00AE27B9">
        <w:rPr>
          <w:rFonts w:ascii="Times New Roman" w:hAnsi="Times New Roman" w:cs="Times New Roman"/>
          <w:color w:val="4472C4" w:themeColor="accent1"/>
          <w:sz w:val="24"/>
          <w:szCs w:val="24"/>
        </w:rPr>
        <w:t>a</w:t>
      </w:r>
      <w:r w:rsidR="00AB4497" w:rsidRPr="00C27188">
        <w:rPr>
          <w:rFonts w:ascii="Times New Roman" w:hAnsi="Times New Roman" w:cs="Times New Roman"/>
          <w:color w:val="4472C4" w:themeColor="accent1"/>
          <w:sz w:val="24"/>
          <w:szCs w:val="24"/>
        </w:rPr>
        <w:t xml:space="preserve"> minor child in the safeguarding of his/her rights) establishes that when any matter concerning the child is being decided, the child, who is able to formulate his/her own views, must be heard directly or, if this is not possible, through a representative, and his/her wishes must be taken into account in the decision-making process, unless this is contrary to the child's best interests. The wishes of the child must be taken into account when deciding on the appointment of a guardian or adoption. In addition, Article 380 of the Code of Civil Procedure (Children's participation in court hearings) provides that when any matter concerning a child is being decided, a child who is able to formulate his or her views must be heard directly or, if this is not possible, through a representative. The child's views must be taken into account in the decision, provided that this is not contrary to the child's best interests. The child's views may be expressed orally, in writing or in any other way of the child's choice.</w:t>
      </w:r>
    </w:p>
    <w:p w14:paraId="4D7D404A" w14:textId="2C7C2147" w:rsidR="00F90EBB" w:rsidRPr="00C27188" w:rsidRDefault="00480A51" w:rsidP="00704BDE">
      <w:pPr>
        <w:jc w:val="both"/>
        <w:rPr>
          <w:rFonts w:ascii="Times New Roman" w:hAnsi="Times New Roman" w:cs="Times New Roman"/>
          <w:color w:val="4472C4" w:themeColor="accent1"/>
          <w:sz w:val="24"/>
          <w:szCs w:val="24"/>
        </w:rPr>
      </w:pPr>
      <w:r w:rsidRPr="00C27188">
        <w:rPr>
          <w:rFonts w:ascii="Times New Roman" w:hAnsi="Times New Roman" w:cs="Times New Roman"/>
          <w:color w:val="4472C4" w:themeColor="accent1"/>
          <w:sz w:val="24"/>
          <w:szCs w:val="24"/>
        </w:rPr>
        <w:t>Reiterating the law, t</w:t>
      </w:r>
      <w:r w:rsidR="00100F2B" w:rsidRPr="00C27188">
        <w:rPr>
          <w:rFonts w:ascii="Times New Roman" w:hAnsi="Times New Roman" w:cs="Times New Roman"/>
          <w:color w:val="4472C4" w:themeColor="accent1"/>
          <w:sz w:val="24"/>
          <w:szCs w:val="24"/>
        </w:rPr>
        <w:t xml:space="preserve">he Supreme Court of Lithuania </w:t>
      </w:r>
      <w:r w:rsidRPr="00C27188">
        <w:rPr>
          <w:rFonts w:ascii="Times New Roman" w:hAnsi="Times New Roman" w:cs="Times New Roman"/>
          <w:color w:val="4472C4" w:themeColor="accent1"/>
          <w:sz w:val="24"/>
          <w:szCs w:val="24"/>
        </w:rPr>
        <w:t>underlines</w:t>
      </w:r>
      <w:r w:rsidR="00100F2B" w:rsidRPr="00C27188">
        <w:rPr>
          <w:rFonts w:ascii="Times New Roman" w:hAnsi="Times New Roman" w:cs="Times New Roman"/>
          <w:color w:val="4472C4" w:themeColor="accent1"/>
          <w:sz w:val="24"/>
          <w:szCs w:val="24"/>
        </w:rPr>
        <w:t xml:space="preserve"> that a child's opinion must be assessed not on the basis of the child's age, but on the basis of the child's maturity.</w:t>
      </w:r>
      <w:r w:rsidR="00100F2B" w:rsidRPr="00C27188">
        <w:rPr>
          <w:rFonts w:ascii="Times New Roman" w:hAnsi="Times New Roman" w:cs="Times New Roman"/>
          <w:color w:val="4472C4" w:themeColor="accent1"/>
          <w:sz w:val="24"/>
          <w:szCs w:val="24"/>
          <w:vertAlign w:val="superscript"/>
        </w:rPr>
        <w:footnoteReference w:id="23"/>
      </w:r>
      <w:r w:rsidR="00100F2B" w:rsidRPr="00C27188">
        <w:rPr>
          <w:rFonts w:ascii="Times New Roman" w:hAnsi="Times New Roman" w:cs="Times New Roman"/>
          <w:color w:val="4472C4" w:themeColor="accent1"/>
          <w:sz w:val="24"/>
          <w:szCs w:val="24"/>
        </w:rPr>
        <w:t xml:space="preserve"> Consequently, in each case, the question of whether the child is capable of forming an </w:t>
      </w:r>
      <w:r w:rsidR="00100F2B" w:rsidRPr="00C27188">
        <w:rPr>
          <w:rFonts w:ascii="Times New Roman" w:hAnsi="Times New Roman" w:cs="Times New Roman"/>
          <w:color w:val="4472C4" w:themeColor="accent1"/>
          <w:sz w:val="24"/>
          <w:szCs w:val="24"/>
        </w:rPr>
        <w:lastRenderedPageBreak/>
        <w:t xml:space="preserve">independent opinion </w:t>
      </w:r>
      <w:r w:rsidRPr="00C27188">
        <w:rPr>
          <w:rFonts w:ascii="Times New Roman" w:hAnsi="Times New Roman" w:cs="Times New Roman"/>
          <w:color w:val="4472C4" w:themeColor="accent1"/>
          <w:sz w:val="24"/>
          <w:szCs w:val="24"/>
        </w:rPr>
        <w:t>is</w:t>
      </w:r>
      <w:r w:rsidR="00100F2B" w:rsidRPr="00C27188">
        <w:rPr>
          <w:rFonts w:ascii="Times New Roman" w:hAnsi="Times New Roman" w:cs="Times New Roman"/>
          <w:color w:val="4472C4" w:themeColor="accent1"/>
          <w:sz w:val="24"/>
          <w:szCs w:val="24"/>
        </w:rPr>
        <w:t xml:space="preserve"> assessed on an individual basis, focusing not on the age of the child, but on the maturity of the child concerned. If the court finds that the child is capable of forming an independent opinion, it is obliged to hear the child. </w:t>
      </w:r>
    </w:p>
    <w:p w14:paraId="43197FDD" w14:textId="7C9CA43C" w:rsidR="00F90EBB" w:rsidRPr="00C27188" w:rsidRDefault="0089412C" w:rsidP="00704BDE">
      <w:pPr>
        <w:jc w:val="both"/>
        <w:rPr>
          <w:rFonts w:ascii="Times New Roman" w:hAnsi="Times New Roman" w:cs="Times New Roman"/>
          <w:color w:val="4472C4" w:themeColor="accent1"/>
          <w:sz w:val="24"/>
          <w:szCs w:val="24"/>
        </w:rPr>
      </w:pPr>
      <w:r w:rsidRPr="00C27188">
        <w:rPr>
          <w:rFonts w:ascii="Times New Roman" w:hAnsi="Times New Roman" w:cs="Times New Roman"/>
          <w:color w:val="4472C4" w:themeColor="accent1"/>
          <w:sz w:val="24"/>
          <w:szCs w:val="24"/>
        </w:rPr>
        <w:t>In child abduction cases, children of school age seem to be always heard, however, w</w:t>
      </w:r>
      <w:r w:rsidR="0018034F" w:rsidRPr="00C27188">
        <w:rPr>
          <w:rFonts w:ascii="Times New Roman" w:hAnsi="Times New Roman" w:cs="Times New Roman"/>
          <w:color w:val="4472C4" w:themeColor="accent1"/>
          <w:sz w:val="24"/>
          <w:szCs w:val="24"/>
        </w:rPr>
        <w:t xml:space="preserve">hen children are younger, their objection to </w:t>
      </w:r>
      <w:r w:rsidR="00AB5785">
        <w:rPr>
          <w:rFonts w:ascii="Times New Roman" w:hAnsi="Times New Roman" w:cs="Times New Roman"/>
          <w:color w:val="4472C4" w:themeColor="accent1"/>
          <w:sz w:val="24"/>
          <w:szCs w:val="24"/>
        </w:rPr>
        <w:t>being</w:t>
      </w:r>
      <w:r w:rsidR="00480A51" w:rsidRPr="00C27188">
        <w:rPr>
          <w:rFonts w:ascii="Times New Roman" w:hAnsi="Times New Roman" w:cs="Times New Roman"/>
          <w:color w:val="4472C4" w:themeColor="accent1"/>
          <w:sz w:val="24"/>
          <w:szCs w:val="24"/>
        </w:rPr>
        <w:t xml:space="preserve"> </w:t>
      </w:r>
      <w:r w:rsidR="0018034F" w:rsidRPr="00C27188">
        <w:rPr>
          <w:rFonts w:ascii="Times New Roman" w:hAnsi="Times New Roman" w:cs="Times New Roman"/>
          <w:color w:val="4472C4" w:themeColor="accent1"/>
          <w:sz w:val="24"/>
          <w:szCs w:val="24"/>
        </w:rPr>
        <w:t>return</w:t>
      </w:r>
      <w:r w:rsidR="00480A51" w:rsidRPr="00C27188">
        <w:rPr>
          <w:rFonts w:ascii="Times New Roman" w:hAnsi="Times New Roman" w:cs="Times New Roman"/>
          <w:color w:val="4472C4" w:themeColor="accent1"/>
          <w:sz w:val="24"/>
          <w:szCs w:val="24"/>
        </w:rPr>
        <w:t>ed</w:t>
      </w:r>
      <w:r w:rsidR="0018034F" w:rsidRPr="00C27188">
        <w:rPr>
          <w:rFonts w:ascii="Times New Roman" w:hAnsi="Times New Roman" w:cs="Times New Roman"/>
          <w:color w:val="4472C4" w:themeColor="accent1"/>
          <w:sz w:val="24"/>
          <w:szCs w:val="24"/>
        </w:rPr>
        <w:t xml:space="preserve"> is less likely to be taken into account. For instance, in a recent case, the court cited the report of social services which</w:t>
      </w:r>
      <w:r w:rsidR="00AB5785">
        <w:rPr>
          <w:rFonts w:ascii="Times New Roman" w:hAnsi="Times New Roman" w:cs="Times New Roman"/>
          <w:color w:val="4472C4" w:themeColor="accent1"/>
          <w:sz w:val="24"/>
          <w:szCs w:val="24"/>
        </w:rPr>
        <w:t xml:space="preserve">, after hearing </w:t>
      </w:r>
      <w:r w:rsidR="00AB5785" w:rsidRPr="00C27188">
        <w:rPr>
          <w:rFonts w:ascii="Times New Roman" w:hAnsi="Times New Roman" w:cs="Times New Roman"/>
          <w:color w:val="4472C4" w:themeColor="accent1"/>
          <w:sz w:val="24"/>
          <w:szCs w:val="24"/>
        </w:rPr>
        <w:t>the children who were aged 6 and 10</w:t>
      </w:r>
      <w:r w:rsidR="00AB5785">
        <w:rPr>
          <w:rFonts w:ascii="Times New Roman" w:hAnsi="Times New Roman" w:cs="Times New Roman"/>
          <w:color w:val="4472C4" w:themeColor="accent1"/>
          <w:sz w:val="24"/>
          <w:szCs w:val="24"/>
        </w:rPr>
        <w:t xml:space="preserve">, </w:t>
      </w:r>
      <w:r w:rsidR="0018034F" w:rsidRPr="00C27188">
        <w:rPr>
          <w:rFonts w:ascii="Times New Roman" w:hAnsi="Times New Roman" w:cs="Times New Roman"/>
          <w:color w:val="4472C4" w:themeColor="accent1"/>
          <w:sz w:val="24"/>
          <w:szCs w:val="24"/>
        </w:rPr>
        <w:t>concluded that</w:t>
      </w:r>
      <w:r w:rsidR="00AB5785">
        <w:rPr>
          <w:rFonts w:ascii="Times New Roman" w:hAnsi="Times New Roman" w:cs="Times New Roman"/>
          <w:color w:val="4472C4" w:themeColor="accent1"/>
          <w:sz w:val="24"/>
          <w:szCs w:val="24"/>
        </w:rPr>
        <w:t xml:space="preserve"> they</w:t>
      </w:r>
      <w:r w:rsidR="0018034F" w:rsidRPr="00C27188">
        <w:rPr>
          <w:rFonts w:ascii="Times New Roman" w:hAnsi="Times New Roman" w:cs="Times New Roman"/>
          <w:color w:val="4472C4" w:themeColor="accent1"/>
          <w:sz w:val="24"/>
          <w:szCs w:val="24"/>
        </w:rPr>
        <w:t xml:space="preserve"> </w:t>
      </w:r>
      <w:r w:rsidR="00AB5785">
        <w:rPr>
          <w:rFonts w:ascii="Times New Roman" w:hAnsi="Times New Roman" w:cs="Times New Roman"/>
          <w:color w:val="4472C4" w:themeColor="accent1"/>
          <w:sz w:val="24"/>
          <w:szCs w:val="24"/>
        </w:rPr>
        <w:t>were</w:t>
      </w:r>
      <w:r w:rsidR="0018034F" w:rsidRPr="00C27188">
        <w:rPr>
          <w:rFonts w:ascii="Times New Roman" w:hAnsi="Times New Roman" w:cs="Times New Roman"/>
          <w:color w:val="4472C4" w:themeColor="accent1"/>
          <w:sz w:val="24"/>
          <w:szCs w:val="24"/>
        </w:rPr>
        <w:t xml:space="preserve"> not of the age and maturity to make a personal and independent decision on their own as to whether to reside permanently in one or another country, and to be able to understand the consequences of that decision in the long term.</w:t>
      </w:r>
      <w:r w:rsidR="0018034F" w:rsidRPr="00C27188">
        <w:rPr>
          <w:rStyle w:val="FootnoteReference"/>
          <w:rFonts w:ascii="Times New Roman" w:hAnsi="Times New Roman" w:cs="Times New Roman"/>
          <w:color w:val="4472C4" w:themeColor="accent1"/>
          <w:sz w:val="24"/>
          <w:szCs w:val="24"/>
        </w:rPr>
        <w:footnoteReference w:id="24"/>
      </w:r>
      <w:r w:rsidR="00F90EBB" w:rsidRPr="00C27188">
        <w:rPr>
          <w:rFonts w:ascii="Times New Roman" w:hAnsi="Times New Roman" w:cs="Times New Roman"/>
          <w:color w:val="4472C4" w:themeColor="accent1"/>
          <w:sz w:val="24"/>
          <w:szCs w:val="24"/>
        </w:rPr>
        <w:t xml:space="preserve"> On the other hand, in another case</w:t>
      </w:r>
      <w:r w:rsidR="00AB5785">
        <w:rPr>
          <w:rFonts w:ascii="Times New Roman" w:hAnsi="Times New Roman" w:cs="Times New Roman"/>
          <w:color w:val="4472C4" w:themeColor="accent1"/>
          <w:sz w:val="24"/>
          <w:szCs w:val="24"/>
        </w:rPr>
        <w:t xml:space="preserve"> a</w:t>
      </w:r>
      <w:r w:rsidR="00F90EBB" w:rsidRPr="00C27188">
        <w:rPr>
          <w:rFonts w:ascii="Times New Roman" w:hAnsi="Times New Roman" w:cs="Times New Roman"/>
          <w:color w:val="4472C4" w:themeColor="accent1"/>
          <w:sz w:val="24"/>
          <w:szCs w:val="24"/>
        </w:rPr>
        <w:t xml:space="preserve"> 7 year old child was heard (in fact he </w:t>
      </w:r>
      <w:r w:rsidRPr="00C27188">
        <w:rPr>
          <w:rFonts w:ascii="Times New Roman" w:hAnsi="Times New Roman" w:cs="Times New Roman"/>
          <w:color w:val="4472C4" w:themeColor="accent1"/>
          <w:sz w:val="24"/>
          <w:szCs w:val="24"/>
        </w:rPr>
        <w:t>w</w:t>
      </w:r>
      <w:r w:rsidR="00F90EBB" w:rsidRPr="00C27188">
        <w:rPr>
          <w:rFonts w:ascii="Times New Roman" w:hAnsi="Times New Roman" w:cs="Times New Roman"/>
          <w:color w:val="4472C4" w:themeColor="accent1"/>
          <w:sz w:val="24"/>
          <w:szCs w:val="24"/>
        </w:rPr>
        <w:t xml:space="preserve">as heard three times by social services and was constantly objecting </w:t>
      </w:r>
      <w:r w:rsidRPr="00C27188">
        <w:rPr>
          <w:rFonts w:ascii="Times New Roman" w:hAnsi="Times New Roman" w:cs="Times New Roman"/>
          <w:color w:val="4472C4" w:themeColor="accent1"/>
          <w:sz w:val="24"/>
          <w:szCs w:val="24"/>
        </w:rPr>
        <w:t xml:space="preserve">to </w:t>
      </w:r>
      <w:r w:rsidR="00F90EBB" w:rsidRPr="00C27188">
        <w:rPr>
          <w:rFonts w:ascii="Times New Roman" w:hAnsi="Times New Roman" w:cs="Times New Roman"/>
          <w:color w:val="4472C4" w:themeColor="accent1"/>
          <w:sz w:val="24"/>
          <w:szCs w:val="24"/>
        </w:rPr>
        <w:t xml:space="preserve">the return) and his refusal was the basis to apply Article 13(2) of the Hague Convention. </w:t>
      </w:r>
      <w:r w:rsidR="002A0E63" w:rsidRPr="00C27188">
        <w:rPr>
          <w:rFonts w:ascii="Times New Roman" w:hAnsi="Times New Roman" w:cs="Times New Roman"/>
          <w:color w:val="4472C4" w:themeColor="accent1"/>
          <w:sz w:val="24"/>
          <w:szCs w:val="24"/>
        </w:rPr>
        <w:t xml:space="preserve">In the view of the court, although the child was only 7 years old at the time of the interviews, his maturity and ability to express his opinion made it reasonable for the court to take the child's opinion into account. Such </w:t>
      </w:r>
      <w:r w:rsidR="00AB5785">
        <w:rPr>
          <w:rFonts w:ascii="Times New Roman" w:hAnsi="Times New Roman" w:cs="Times New Roman"/>
          <w:color w:val="4472C4" w:themeColor="accent1"/>
          <w:sz w:val="24"/>
          <w:szCs w:val="24"/>
        </w:rPr>
        <w:t xml:space="preserve">a </w:t>
      </w:r>
      <w:r w:rsidR="002A0E63" w:rsidRPr="00C27188">
        <w:rPr>
          <w:rFonts w:ascii="Times New Roman" w:hAnsi="Times New Roman" w:cs="Times New Roman"/>
          <w:color w:val="4472C4" w:themeColor="accent1"/>
          <w:sz w:val="24"/>
          <w:szCs w:val="24"/>
        </w:rPr>
        <w:t xml:space="preserve">conclusion was based on the reports of social services which stated that the child </w:t>
      </w:r>
      <w:r w:rsidRPr="00C27188">
        <w:rPr>
          <w:rFonts w:ascii="Times New Roman" w:hAnsi="Times New Roman" w:cs="Times New Roman"/>
          <w:color w:val="4472C4" w:themeColor="accent1"/>
          <w:sz w:val="24"/>
          <w:szCs w:val="24"/>
        </w:rPr>
        <w:t>wa</w:t>
      </w:r>
      <w:r w:rsidR="002A0E63" w:rsidRPr="00C27188">
        <w:rPr>
          <w:rFonts w:ascii="Times New Roman" w:hAnsi="Times New Roman" w:cs="Times New Roman"/>
          <w:color w:val="4472C4" w:themeColor="accent1"/>
          <w:sz w:val="24"/>
          <w:szCs w:val="24"/>
        </w:rPr>
        <w:t xml:space="preserve">s able to use simple sentences to express his/her wishes, needs, </w:t>
      </w:r>
      <w:r w:rsidR="00AB5785">
        <w:rPr>
          <w:rFonts w:ascii="Times New Roman" w:hAnsi="Times New Roman" w:cs="Times New Roman"/>
          <w:color w:val="4472C4" w:themeColor="accent1"/>
          <w:sz w:val="24"/>
          <w:szCs w:val="24"/>
        </w:rPr>
        <w:t xml:space="preserve">and </w:t>
      </w:r>
      <w:r w:rsidR="002A0E63" w:rsidRPr="00C27188">
        <w:rPr>
          <w:rFonts w:ascii="Times New Roman" w:hAnsi="Times New Roman" w:cs="Times New Roman"/>
          <w:color w:val="4472C4" w:themeColor="accent1"/>
          <w:sz w:val="24"/>
          <w:szCs w:val="24"/>
        </w:rPr>
        <w:t>ideas</w:t>
      </w:r>
      <w:r w:rsidR="00AB5785">
        <w:rPr>
          <w:rFonts w:ascii="Times New Roman" w:hAnsi="Times New Roman" w:cs="Times New Roman"/>
          <w:color w:val="4472C4" w:themeColor="accent1"/>
          <w:sz w:val="24"/>
          <w:szCs w:val="24"/>
        </w:rPr>
        <w:t>;</w:t>
      </w:r>
      <w:r w:rsidR="002A0E63" w:rsidRPr="00C27188">
        <w:rPr>
          <w:rFonts w:ascii="Times New Roman" w:hAnsi="Times New Roman" w:cs="Times New Roman"/>
          <w:color w:val="4472C4" w:themeColor="accent1"/>
          <w:sz w:val="24"/>
          <w:szCs w:val="24"/>
        </w:rPr>
        <w:t xml:space="preserve"> that the child's comprehension skills </w:t>
      </w:r>
      <w:r w:rsidRPr="00C27188">
        <w:rPr>
          <w:rFonts w:ascii="Times New Roman" w:hAnsi="Times New Roman" w:cs="Times New Roman"/>
          <w:color w:val="4472C4" w:themeColor="accent1"/>
          <w:sz w:val="24"/>
          <w:szCs w:val="24"/>
        </w:rPr>
        <w:t>we</w:t>
      </w:r>
      <w:r w:rsidR="002A0E63" w:rsidRPr="00C27188">
        <w:rPr>
          <w:rFonts w:ascii="Times New Roman" w:hAnsi="Times New Roman" w:cs="Times New Roman"/>
          <w:color w:val="4472C4" w:themeColor="accent1"/>
          <w:sz w:val="24"/>
          <w:szCs w:val="24"/>
        </w:rPr>
        <w:t xml:space="preserve">re </w:t>
      </w:r>
      <w:r w:rsidRPr="00C27188">
        <w:rPr>
          <w:rFonts w:ascii="Times New Roman" w:hAnsi="Times New Roman" w:cs="Times New Roman"/>
          <w:color w:val="4472C4" w:themeColor="accent1"/>
          <w:sz w:val="24"/>
          <w:szCs w:val="24"/>
        </w:rPr>
        <w:t>good</w:t>
      </w:r>
      <w:r w:rsidR="002A0E63" w:rsidRPr="00C27188">
        <w:rPr>
          <w:rFonts w:ascii="Times New Roman" w:hAnsi="Times New Roman" w:cs="Times New Roman"/>
          <w:color w:val="4472C4" w:themeColor="accent1"/>
          <w:sz w:val="24"/>
          <w:szCs w:val="24"/>
        </w:rPr>
        <w:t xml:space="preserve"> for his/her age; </w:t>
      </w:r>
      <w:r w:rsidR="00AB5785">
        <w:rPr>
          <w:rFonts w:ascii="Times New Roman" w:hAnsi="Times New Roman" w:cs="Times New Roman"/>
          <w:color w:val="4472C4" w:themeColor="accent1"/>
          <w:sz w:val="24"/>
          <w:szCs w:val="24"/>
        </w:rPr>
        <w:t>that</w:t>
      </w:r>
      <w:r w:rsidRPr="00C27188">
        <w:rPr>
          <w:rFonts w:ascii="Times New Roman" w:hAnsi="Times New Roman" w:cs="Times New Roman"/>
          <w:color w:val="4472C4" w:themeColor="accent1"/>
          <w:sz w:val="24"/>
          <w:szCs w:val="24"/>
        </w:rPr>
        <w:t xml:space="preserve"> </w:t>
      </w:r>
      <w:r w:rsidR="002A0E63" w:rsidRPr="00C27188">
        <w:rPr>
          <w:rFonts w:ascii="Times New Roman" w:hAnsi="Times New Roman" w:cs="Times New Roman"/>
          <w:color w:val="4472C4" w:themeColor="accent1"/>
          <w:sz w:val="24"/>
          <w:szCs w:val="24"/>
        </w:rPr>
        <w:t xml:space="preserve">although the child </w:t>
      </w:r>
      <w:r w:rsidRPr="00C27188">
        <w:rPr>
          <w:rFonts w:ascii="Times New Roman" w:hAnsi="Times New Roman" w:cs="Times New Roman"/>
          <w:color w:val="4472C4" w:themeColor="accent1"/>
          <w:sz w:val="24"/>
          <w:szCs w:val="24"/>
        </w:rPr>
        <w:t>wa</w:t>
      </w:r>
      <w:r w:rsidR="002A0E63" w:rsidRPr="00C27188">
        <w:rPr>
          <w:rFonts w:ascii="Times New Roman" w:hAnsi="Times New Roman" w:cs="Times New Roman"/>
          <w:color w:val="4472C4" w:themeColor="accent1"/>
          <w:sz w:val="24"/>
          <w:szCs w:val="24"/>
        </w:rPr>
        <w:t>s of a young age, the child's opinion should be taken into account; the child ha</w:t>
      </w:r>
      <w:r w:rsidRPr="00C27188">
        <w:rPr>
          <w:rFonts w:ascii="Times New Roman" w:hAnsi="Times New Roman" w:cs="Times New Roman"/>
          <w:color w:val="4472C4" w:themeColor="accent1"/>
          <w:sz w:val="24"/>
          <w:szCs w:val="24"/>
        </w:rPr>
        <w:t>d</w:t>
      </w:r>
      <w:r w:rsidR="002A0E63" w:rsidRPr="00C27188">
        <w:rPr>
          <w:rFonts w:ascii="Times New Roman" w:hAnsi="Times New Roman" w:cs="Times New Roman"/>
          <w:color w:val="4472C4" w:themeColor="accent1"/>
          <w:sz w:val="24"/>
          <w:szCs w:val="24"/>
        </w:rPr>
        <w:t xml:space="preserve"> a good memory for facts, and </w:t>
      </w:r>
      <w:r w:rsidRPr="00C27188">
        <w:rPr>
          <w:rFonts w:ascii="Times New Roman" w:hAnsi="Times New Roman" w:cs="Times New Roman"/>
          <w:color w:val="4472C4" w:themeColor="accent1"/>
          <w:sz w:val="24"/>
          <w:szCs w:val="24"/>
        </w:rPr>
        <w:t>wa</w:t>
      </w:r>
      <w:r w:rsidR="002A0E63" w:rsidRPr="00C27188">
        <w:rPr>
          <w:rFonts w:ascii="Times New Roman" w:hAnsi="Times New Roman" w:cs="Times New Roman"/>
          <w:color w:val="4472C4" w:themeColor="accent1"/>
          <w:sz w:val="24"/>
          <w:szCs w:val="24"/>
        </w:rPr>
        <w:t>s able to express his or her own opinion</w:t>
      </w:r>
      <w:r w:rsidR="00AE27B9">
        <w:rPr>
          <w:rFonts w:ascii="Times New Roman" w:hAnsi="Times New Roman" w:cs="Times New Roman"/>
          <w:color w:val="4472C4" w:themeColor="accent1"/>
          <w:sz w:val="24"/>
          <w:szCs w:val="24"/>
        </w:rPr>
        <w:t>;</w:t>
      </w:r>
      <w:r w:rsidR="002A0E63" w:rsidRPr="00C27188">
        <w:rPr>
          <w:rFonts w:ascii="Times New Roman" w:hAnsi="Times New Roman" w:cs="Times New Roman"/>
          <w:color w:val="4472C4" w:themeColor="accent1"/>
          <w:sz w:val="24"/>
          <w:szCs w:val="24"/>
        </w:rPr>
        <w:t xml:space="preserve"> that he justified his wish to stay in Lithuania not only by making general statements, but also by giving reasons (he stated that he fe</w:t>
      </w:r>
      <w:r w:rsidRPr="00C27188">
        <w:rPr>
          <w:rFonts w:ascii="Times New Roman" w:hAnsi="Times New Roman" w:cs="Times New Roman"/>
          <w:color w:val="4472C4" w:themeColor="accent1"/>
          <w:sz w:val="24"/>
          <w:szCs w:val="24"/>
        </w:rPr>
        <w:t>lt</w:t>
      </w:r>
      <w:r w:rsidR="002A0E63" w:rsidRPr="00C27188">
        <w:rPr>
          <w:rFonts w:ascii="Times New Roman" w:hAnsi="Times New Roman" w:cs="Times New Roman"/>
          <w:color w:val="4472C4" w:themeColor="accent1"/>
          <w:sz w:val="24"/>
          <w:szCs w:val="24"/>
        </w:rPr>
        <w:t xml:space="preserve"> happy in Lithuania, that his family </w:t>
      </w:r>
      <w:r w:rsidRPr="00C27188">
        <w:rPr>
          <w:rFonts w:ascii="Times New Roman" w:hAnsi="Times New Roman" w:cs="Times New Roman"/>
          <w:color w:val="4472C4" w:themeColor="accent1"/>
          <w:sz w:val="24"/>
          <w:szCs w:val="24"/>
        </w:rPr>
        <w:t>wa</w:t>
      </w:r>
      <w:r w:rsidR="002A0E63" w:rsidRPr="00C27188">
        <w:rPr>
          <w:rFonts w:ascii="Times New Roman" w:hAnsi="Times New Roman" w:cs="Times New Roman"/>
          <w:color w:val="4472C4" w:themeColor="accent1"/>
          <w:sz w:val="24"/>
          <w:szCs w:val="24"/>
        </w:rPr>
        <w:t xml:space="preserve">s in Lithuania, that Lithuania </w:t>
      </w:r>
      <w:r w:rsidRPr="00C27188">
        <w:rPr>
          <w:rFonts w:ascii="Times New Roman" w:hAnsi="Times New Roman" w:cs="Times New Roman"/>
          <w:color w:val="4472C4" w:themeColor="accent1"/>
          <w:sz w:val="24"/>
          <w:szCs w:val="24"/>
        </w:rPr>
        <w:t>wa</w:t>
      </w:r>
      <w:r w:rsidR="002A0E63" w:rsidRPr="00C27188">
        <w:rPr>
          <w:rFonts w:ascii="Times New Roman" w:hAnsi="Times New Roman" w:cs="Times New Roman"/>
          <w:color w:val="4472C4" w:themeColor="accent1"/>
          <w:sz w:val="24"/>
          <w:szCs w:val="24"/>
        </w:rPr>
        <w:t>s his home).</w:t>
      </w:r>
      <w:r w:rsidR="002A0E63" w:rsidRPr="00C27188">
        <w:rPr>
          <w:rStyle w:val="FootnoteReference"/>
          <w:rFonts w:ascii="Times New Roman" w:hAnsi="Times New Roman" w:cs="Times New Roman"/>
          <w:color w:val="4472C4" w:themeColor="accent1"/>
          <w:sz w:val="24"/>
          <w:szCs w:val="24"/>
        </w:rPr>
        <w:footnoteReference w:id="25"/>
      </w:r>
      <w:r w:rsidR="002A0E63" w:rsidRPr="00C27188">
        <w:rPr>
          <w:rFonts w:ascii="Times New Roman" w:hAnsi="Times New Roman" w:cs="Times New Roman"/>
          <w:color w:val="4472C4" w:themeColor="accent1"/>
          <w:sz w:val="24"/>
          <w:szCs w:val="24"/>
        </w:rPr>
        <w:t xml:space="preserve"> </w:t>
      </w:r>
    </w:p>
    <w:p w14:paraId="56DC887A" w14:textId="03180590" w:rsidR="00C65A39" w:rsidRPr="00C27188" w:rsidRDefault="00C65A39" w:rsidP="00704BDE">
      <w:pPr>
        <w:jc w:val="both"/>
        <w:rPr>
          <w:rFonts w:ascii="Times New Roman" w:hAnsi="Times New Roman" w:cs="Times New Roman"/>
          <w:color w:val="4472C4" w:themeColor="accent1"/>
          <w:sz w:val="24"/>
          <w:szCs w:val="24"/>
        </w:rPr>
      </w:pPr>
      <w:r w:rsidRPr="00C27188">
        <w:rPr>
          <w:rFonts w:ascii="Times New Roman" w:hAnsi="Times New Roman" w:cs="Times New Roman"/>
          <w:color w:val="4472C4" w:themeColor="accent1"/>
          <w:sz w:val="24"/>
          <w:szCs w:val="24"/>
        </w:rPr>
        <w:t xml:space="preserve">It should be noted that </w:t>
      </w:r>
      <w:r w:rsidR="00AB5785">
        <w:rPr>
          <w:rFonts w:ascii="Times New Roman" w:hAnsi="Times New Roman" w:cs="Times New Roman"/>
          <w:color w:val="4472C4" w:themeColor="accent1"/>
          <w:sz w:val="24"/>
          <w:szCs w:val="24"/>
        </w:rPr>
        <w:t>when children are heard by social services, the social services often provide their opinion as to the maturity of the child. W</w:t>
      </w:r>
      <w:r w:rsidRPr="00C27188">
        <w:rPr>
          <w:rFonts w:ascii="Times New Roman" w:hAnsi="Times New Roman" w:cs="Times New Roman"/>
          <w:color w:val="4472C4" w:themeColor="accent1"/>
          <w:sz w:val="24"/>
          <w:szCs w:val="24"/>
        </w:rPr>
        <w:t>hen children are heard</w:t>
      </w:r>
      <w:r w:rsidR="00F158F6">
        <w:rPr>
          <w:rFonts w:ascii="Times New Roman" w:hAnsi="Times New Roman" w:cs="Times New Roman"/>
          <w:color w:val="4472C4" w:themeColor="accent1"/>
          <w:sz w:val="24"/>
          <w:szCs w:val="24"/>
        </w:rPr>
        <w:t xml:space="preserve"> </w:t>
      </w:r>
      <w:r w:rsidR="00AB5785">
        <w:rPr>
          <w:rFonts w:ascii="Times New Roman" w:hAnsi="Times New Roman" w:cs="Times New Roman"/>
          <w:color w:val="4472C4" w:themeColor="accent1"/>
          <w:sz w:val="24"/>
          <w:szCs w:val="24"/>
        </w:rPr>
        <w:t xml:space="preserve">directly </w:t>
      </w:r>
      <w:r w:rsidR="00F158F6">
        <w:rPr>
          <w:rFonts w:ascii="Times New Roman" w:hAnsi="Times New Roman" w:cs="Times New Roman"/>
          <w:color w:val="4472C4" w:themeColor="accent1"/>
          <w:sz w:val="24"/>
          <w:szCs w:val="24"/>
        </w:rPr>
        <w:t>in court</w:t>
      </w:r>
      <w:r w:rsidRPr="00C27188">
        <w:rPr>
          <w:rFonts w:ascii="Times New Roman" w:hAnsi="Times New Roman" w:cs="Times New Roman"/>
          <w:color w:val="4472C4" w:themeColor="accent1"/>
          <w:sz w:val="24"/>
          <w:szCs w:val="24"/>
        </w:rPr>
        <w:t xml:space="preserve">, </w:t>
      </w:r>
      <w:r w:rsidR="002D751B">
        <w:rPr>
          <w:rFonts w:ascii="Times New Roman" w:hAnsi="Times New Roman" w:cs="Times New Roman"/>
          <w:color w:val="4472C4" w:themeColor="accent1"/>
          <w:sz w:val="24"/>
          <w:szCs w:val="24"/>
        </w:rPr>
        <w:t xml:space="preserve">or when there are doubts as to their maturity, </w:t>
      </w:r>
      <w:r w:rsidRPr="00C27188">
        <w:rPr>
          <w:rFonts w:ascii="Times New Roman" w:hAnsi="Times New Roman" w:cs="Times New Roman"/>
          <w:color w:val="4472C4" w:themeColor="accent1"/>
          <w:sz w:val="24"/>
          <w:szCs w:val="24"/>
        </w:rPr>
        <w:t xml:space="preserve">their opinion might be evaluated by a psychologist. For instance, in </w:t>
      </w:r>
      <w:r w:rsidR="00AB5785">
        <w:rPr>
          <w:rFonts w:ascii="Times New Roman" w:hAnsi="Times New Roman" w:cs="Times New Roman"/>
          <w:color w:val="4472C4" w:themeColor="accent1"/>
          <w:sz w:val="24"/>
          <w:szCs w:val="24"/>
        </w:rPr>
        <w:t>the</w:t>
      </w:r>
      <w:r w:rsidRPr="00C27188">
        <w:rPr>
          <w:rFonts w:ascii="Times New Roman" w:hAnsi="Times New Roman" w:cs="Times New Roman"/>
          <w:color w:val="4472C4" w:themeColor="accent1"/>
          <w:sz w:val="24"/>
          <w:szCs w:val="24"/>
        </w:rPr>
        <w:t xml:space="preserve"> case cited above, the psychologist issued a written report on the children's statements. In the report, the psychologist stated that the </w:t>
      </w:r>
      <w:r w:rsidR="008121CD">
        <w:rPr>
          <w:rFonts w:ascii="Times New Roman" w:hAnsi="Times New Roman" w:cs="Times New Roman"/>
          <w:color w:val="4472C4" w:themeColor="accent1"/>
          <w:sz w:val="24"/>
          <w:szCs w:val="24"/>
        </w:rPr>
        <w:t>children's</w:t>
      </w:r>
      <w:r w:rsidRPr="00C27188">
        <w:rPr>
          <w:rFonts w:ascii="Times New Roman" w:hAnsi="Times New Roman" w:cs="Times New Roman"/>
          <w:color w:val="4472C4" w:themeColor="accent1"/>
          <w:sz w:val="24"/>
          <w:szCs w:val="24"/>
        </w:rPr>
        <w:t xml:space="preserve"> testimony raised doubts as to its objectivity in the light of the fact that they were young (6 and 10 </w:t>
      </w:r>
      <w:proofErr w:type="spellStart"/>
      <w:r w:rsidRPr="00C27188">
        <w:rPr>
          <w:rFonts w:ascii="Times New Roman" w:hAnsi="Times New Roman" w:cs="Times New Roman"/>
          <w:color w:val="4472C4" w:themeColor="accent1"/>
          <w:sz w:val="24"/>
          <w:szCs w:val="24"/>
        </w:rPr>
        <w:t>y.o</w:t>
      </w:r>
      <w:proofErr w:type="spellEnd"/>
      <w:r w:rsidRPr="00C27188">
        <w:rPr>
          <w:rFonts w:ascii="Times New Roman" w:hAnsi="Times New Roman" w:cs="Times New Roman"/>
          <w:color w:val="4472C4" w:themeColor="accent1"/>
          <w:sz w:val="24"/>
          <w:szCs w:val="24"/>
        </w:rPr>
        <w:t>) and have been living with their mother for almost two years since the separation of their parents, from whom they may have picked up negative attitudes towards their father and a bias in relation to the dispute that had arisen between the two of them.</w:t>
      </w:r>
      <w:r w:rsidRPr="00C27188">
        <w:rPr>
          <w:rStyle w:val="FootnoteReference"/>
          <w:rFonts w:ascii="Times New Roman" w:hAnsi="Times New Roman" w:cs="Times New Roman"/>
          <w:color w:val="4472C4" w:themeColor="accent1"/>
          <w:sz w:val="24"/>
          <w:szCs w:val="24"/>
        </w:rPr>
        <w:footnoteReference w:id="26"/>
      </w:r>
      <w:r w:rsidRPr="00C27188">
        <w:rPr>
          <w:rFonts w:ascii="Times New Roman" w:hAnsi="Times New Roman" w:cs="Times New Roman"/>
          <w:color w:val="4472C4" w:themeColor="accent1"/>
          <w:sz w:val="24"/>
          <w:szCs w:val="24"/>
        </w:rPr>
        <w:t xml:space="preserve"> </w:t>
      </w:r>
    </w:p>
    <w:p w14:paraId="0444CADA" w14:textId="77777777" w:rsidR="002D751B" w:rsidRDefault="00100F2B" w:rsidP="00704BDE">
      <w:pPr>
        <w:jc w:val="both"/>
        <w:rPr>
          <w:rFonts w:ascii="Times New Roman" w:hAnsi="Times New Roman" w:cs="Times New Roman"/>
          <w:color w:val="4472C4" w:themeColor="accent1"/>
          <w:sz w:val="24"/>
          <w:szCs w:val="24"/>
        </w:rPr>
      </w:pPr>
      <w:r w:rsidRPr="00C27188">
        <w:rPr>
          <w:rFonts w:ascii="Times New Roman" w:hAnsi="Times New Roman" w:cs="Times New Roman"/>
          <w:color w:val="4472C4" w:themeColor="accent1"/>
          <w:sz w:val="24"/>
          <w:szCs w:val="24"/>
        </w:rPr>
        <w:t>In practice, there are two ways of hearing the child's opinion: (</w:t>
      </w:r>
      <w:proofErr w:type="spellStart"/>
      <w:r w:rsidRPr="00C27188">
        <w:rPr>
          <w:rFonts w:ascii="Times New Roman" w:hAnsi="Times New Roman" w:cs="Times New Roman"/>
          <w:color w:val="4472C4" w:themeColor="accent1"/>
          <w:sz w:val="24"/>
          <w:szCs w:val="24"/>
        </w:rPr>
        <w:t>i</w:t>
      </w:r>
      <w:proofErr w:type="spellEnd"/>
      <w:r w:rsidRPr="00C27188">
        <w:rPr>
          <w:rFonts w:ascii="Times New Roman" w:hAnsi="Times New Roman" w:cs="Times New Roman"/>
          <w:color w:val="4472C4" w:themeColor="accent1"/>
          <w:sz w:val="24"/>
          <w:szCs w:val="24"/>
        </w:rPr>
        <w:t>) directly at the court hearing; (ii) indirectly in court (by obliging the social services to hear the child's opinion, or by appointing a forensic expert).</w:t>
      </w:r>
      <w:r w:rsidR="00AB4497" w:rsidRPr="00C27188">
        <w:rPr>
          <w:rFonts w:ascii="Times New Roman" w:hAnsi="Times New Roman" w:cs="Times New Roman"/>
          <w:color w:val="4472C4" w:themeColor="accent1"/>
          <w:sz w:val="24"/>
          <w:szCs w:val="24"/>
        </w:rPr>
        <w:t xml:space="preserve"> </w:t>
      </w:r>
      <w:r w:rsidR="002A0E63" w:rsidRPr="00C27188">
        <w:rPr>
          <w:rFonts w:ascii="Times New Roman" w:hAnsi="Times New Roman" w:cs="Times New Roman"/>
          <w:color w:val="4472C4" w:themeColor="accent1"/>
          <w:sz w:val="24"/>
          <w:szCs w:val="24"/>
        </w:rPr>
        <w:t>In general</w:t>
      </w:r>
      <w:r w:rsidR="00AB4497" w:rsidRPr="00C27188">
        <w:rPr>
          <w:rFonts w:ascii="Times New Roman" w:hAnsi="Times New Roman" w:cs="Times New Roman"/>
          <w:color w:val="4472C4" w:themeColor="accent1"/>
          <w:sz w:val="24"/>
          <w:szCs w:val="24"/>
        </w:rPr>
        <w:t xml:space="preserve">, </w:t>
      </w:r>
      <w:r w:rsidR="002A0E63" w:rsidRPr="00C27188">
        <w:rPr>
          <w:rFonts w:ascii="Times New Roman" w:hAnsi="Times New Roman" w:cs="Times New Roman"/>
          <w:color w:val="4472C4" w:themeColor="accent1"/>
          <w:sz w:val="24"/>
          <w:szCs w:val="24"/>
        </w:rPr>
        <w:t xml:space="preserve">in family cases </w:t>
      </w:r>
      <w:r w:rsidR="00AB4497" w:rsidRPr="00C27188">
        <w:rPr>
          <w:rFonts w:ascii="Times New Roman" w:hAnsi="Times New Roman" w:cs="Times New Roman"/>
          <w:color w:val="4472C4" w:themeColor="accent1"/>
          <w:sz w:val="24"/>
          <w:szCs w:val="24"/>
        </w:rPr>
        <w:t xml:space="preserve">the Supreme Court of Lithuania </w:t>
      </w:r>
      <w:r w:rsidR="0089412C" w:rsidRPr="00C27188">
        <w:rPr>
          <w:rFonts w:ascii="Times New Roman" w:hAnsi="Times New Roman" w:cs="Times New Roman"/>
          <w:color w:val="4472C4" w:themeColor="accent1"/>
          <w:sz w:val="24"/>
          <w:szCs w:val="24"/>
        </w:rPr>
        <w:t>considers</w:t>
      </w:r>
      <w:r w:rsidR="00AB4497" w:rsidRPr="00C27188">
        <w:rPr>
          <w:rFonts w:ascii="Times New Roman" w:hAnsi="Times New Roman" w:cs="Times New Roman"/>
          <w:color w:val="4472C4" w:themeColor="accent1"/>
          <w:sz w:val="24"/>
          <w:szCs w:val="24"/>
        </w:rPr>
        <w:t xml:space="preserve"> that the court should seek to hear the child directly if his age and maturity allow him to express his thoughts and formulate his answers.</w:t>
      </w:r>
      <w:r w:rsidR="00AB4497" w:rsidRPr="00C27188">
        <w:rPr>
          <w:rFonts w:ascii="Times New Roman" w:hAnsi="Times New Roman" w:cs="Times New Roman"/>
          <w:color w:val="4472C4" w:themeColor="accent1"/>
          <w:sz w:val="24"/>
          <w:szCs w:val="24"/>
          <w:vertAlign w:val="superscript"/>
        </w:rPr>
        <w:footnoteReference w:id="27"/>
      </w:r>
      <w:r w:rsidR="002A0E63" w:rsidRPr="00C27188">
        <w:rPr>
          <w:rFonts w:ascii="Times New Roman" w:hAnsi="Times New Roman" w:cs="Times New Roman"/>
          <w:color w:val="4472C4" w:themeColor="accent1"/>
          <w:sz w:val="24"/>
          <w:szCs w:val="24"/>
        </w:rPr>
        <w:t xml:space="preserve"> </w:t>
      </w:r>
    </w:p>
    <w:p w14:paraId="60FE8ABA" w14:textId="4E7E21CC" w:rsidR="00BD78C8" w:rsidRDefault="00AB4497" w:rsidP="00704BDE">
      <w:pPr>
        <w:jc w:val="both"/>
        <w:rPr>
          <w:rFonts w:ascii="Times New Roman" w:hAnsi="Times New Roman" w:cs="Times New Roman"/>
          <w:color w:val="4472C4" w:themeColor="accent1"/>
          <w:sz w:val="24"/>
          <w:szCs w:val="24"/>
        </w:rPr>
      </w:pPr>
      <w:r w:rsidRPr="00C27188">
        <w:rPr>
          <w:rFonts w:ascii="Times New Roman" w:hAnsi="Times New Roman" w:cs="Times New Roman"/>
          <w:color w:val="4472C4" w:themeColor="accent1"/>
          <w:sz w:val="24"/>
          <w:szCs w:val="24"/>
        </w:rPr>
        <w:t xml:space="preserve">In child abduction cases, </w:t>
      </w:r>
      <w:r w:rsidR="00F158F6">
        <w:rPr>
          <w:rFonts w:ascii="Times New Roman" w:hAnsi="Times New Roman" w:cs="Times New Roman"/>
          <w:color w:val="4472C4" w:themeColor="accent1"/>
          <w:sz w:val="24"/>
          <w:szCs w:val="24"/>
        </w:rPr>
        <w:t xml:space="preserve">when the case reaches the court, </w:t>
      </w:r>
      <w:r w:rsidRPr="00C27188">
        <w:rPr>
          <w:rFonts w:ascii="Times New Roman" w:hAnsi="Times New Roman" w:cs="Times New Roman"/>
          <w:color w:val="4472C4" w:themeColor="accent1"/>
          <w:sz w:val="24"/>
          <w:szCs w:val="24"/>
        </w:rPr>
        <w:t>social services visit the family to draw the report</w:t>
      </w:r>
      <w:r w:rsidR="0089412C" w:rsidRPr="00C27188">
        <w:rPr>
          <w:rFonts w:ascii="Times New Roman" w:hAnsi="Times New Roman" w:cs="Times New Roman"/>
          <w:color w:val="4472C4" w:themeColor="accent1"/>
          <w:sz w:val="24"/>
          <w:szCs w:val="24"/>
        </w:rPr>
        <w:t xml:space="preserve"> on the situation and living conditions of the child in Lithuania</w:t>
      </w:r>
      <w:r w:rsidRPr="00C27188">
        <w:rPr>
          <w:rFonts w:ascii="Times New Roman" w:hAnsi="Times New Roman" w:cs="Times New Roman"/>
          <w:color w:val="4472C4" w:themeColor="accent1"/>
          <w:sz w:val="24"/>
          <w:szCs w:val="24"/>
        </w:rPr>
        <w:t xml:space="preserve">; they also </w:t>
      </w:r>
      <w:r w:rsidR="00F158F6">
        <w:rPr>
          <w:rFonts w:ascii="Times New Roman" w:hAnsi="Times New Roman" w:cs="Times New Roman"/>
          <w:color w:val="4472C4" w:themeColor="accent1"/>
          <w:sz w:val="24"/>
          <w:szCs w:val="24"/>
        </w:rPr>
        <w:t>always hear</w:t>
      </w:r>
      <w:r w:rsidRPr="00C27188">
        <w:rPr>
          <w:rFonts w:ascii="Times New Roman" w:hAnsi="Times New Roman" w:cs="Times New Roman"/>
          <w:color w:val="4472C4" w:themeColor="accent1"/>
          <w:sz w:val="24"/>
          <w:szCs w:val="24"/>
        </w:rPr>
        <w:t xml:space="preserve"> the children</w:t>
      </w:r>
      <w:r w:rsidR="00F158F6">
        <w:rPr>
          <w:rFonts w:ascii="Times New Roman" w:hAnsi="Times New Roman" w:cs="Times New Roman"/>
          <w:color w:val="4472C4" w:themeColor="accent1"/>
          <w:sz w:val="24"/>
          <w:szCs w:val="24"/>
        </w:rPr>
        <w:t xml:space="preserve"> (except very young ones who do not talk)</w:t>
      </w:r>
      <w:r w:rsidRPr="00C27188">
        <w:rPr>
          <w:rFonts w:ascii="Times New Roman" w:hAnsi="Times New Roman" w:cs="Times New Roman"/>
          <w:color w:val="4472C4" w:themeColor="accent1"/>
          <w:sz w:val="24"/>
          <w:szCs w:val="24"/>
        </w:rPr>
        <w:t xml:space="preserve">. </w:t>
      </w:r>
      <w:r w:rsidR="00F158F6">
        <w:rPr>
          <w:rFonts w:ascii="Times New Roman" w:hAnsi="Times New Roman" w:cs="Times New Roman"/>
          <w:color w:val="4472C4" w:themeColor="accent1"/>
          <w:sz w:val="24"/>
          <w:szCs w:val="24"/>
        </w:rPr>
        <w:t xml:space="preserve">If parents do not allow </w:t>
      </w:r>
      <w:r w:rsidR="008121CD">
        <w:rPr>
          <w:rFonts w:ascii="Times New Roman" w:hAnsi="Times New Roman" w:cs="Times New Roman"/>
          <w:color w:val="4472C4" w:themeColor="accent1"/>
          <w:sz w:val="24"/>
          <w:szCs w:val="24"/>
        </w:rPr>
        <w:t xml:space="preserve">their </w:t>
      </w:r>
      <w:r w:rsidR="00F158F6">
        <w:rPr>
          <w:rFonts w:ascii="Times New Roman" w:hAnsi="Times New Roman" w:cs="Times New Roman"/>
          <w:color w:val="4472C4" w:themeColor="accent1"/>
          <w:sz w:val="24"/>
          <w:szCs w:val="24"/>
        </w:rPr>
        <w:t xml:space="preserve">children to be heard, the social services note that in their report and a court may oblige the </w:t>
      </w:r>
      <w:r w:rsidR="00F158F6">
        <w:rPr>
          <w:rFonts w:ascii="Times New Roman" w:hAnsi="Times New Roman" w:cs="Times New Roman"/>
          <w:color w:val="4472C4" w:themeColor="accent1"/>
          <w:sz w:val="24"/>
          <w:szCs w:val="24"/>
        </w:rPr>
        <w:lastRenderedPageBreak/>
        <w:t xml:space="preserve">parent to bring the child to court to be heard. </w:t>
      </w:r>
      <w:r w:rsidR="004E016C">
        <w:rPr>
          <w:rFonts w:ascii="Times New Roman" w:hAnsi="Times New Roman" w:cs="Times New Roman"/>
          <w:color w:val="4472C4" w:themeColor="accent1"/>
          <w:sz w:val="24"/>
          <w:szCs w:val="24"/>
        </w:rPr>
        <w:t>Overall</w:t>
      </w:r>
      <w:r w:rsidR="00C630E5" w:rsidRPr="00C27188">
        <w:rPr>
          <w:rFonts w:ascii="Times New Roman" w:hAnsi="Times New Roman" w:cs="Times New Roman"/>
          <w:color w:val="4472C4" w:themeColor="accent1"/>
          <w:sz w:val="24"/>
          <w:szCs w:val="24"/>
        </w:rPr>
        <w:t>,</w:t>
      </w:r>
      <w:r w:rsidR="0089412C" w:rsidRPr="00C27188">
        <w:rPr>
          <w:rFonts w:ascii="Times New Roman" w:hAnsi="Times New Roman" w:cs="Times New Roman"/>
          <w:color w:val="4472C4" w:themeColor="accent1"/>
          <w:sz w:val="24"/>
          <w:szCs w:val="24"/>
        </w:rPr>
        <w:t xml:space="preserve"> children are typically </w:t>
      </w:r>
      <w:r w:rsidR="004E016C">
        <w:rPr>
          <w:rFonts w:ascii="Times New Roman" w:hAnsi="Times New Roman" w:cs="Times New Roman"/>
          <w:color w:val="4472C4" w:themeColor="accent1"/>
          <w:sz w:val="24"/>
          <w:szCs w:val="24"/>
        </w:rPr>
        <w:t>first</w:t>
      </w:r>
      <w:r w:rsidR="0089412C" w:rsidRPr="00C27188">
        <w:rPr>
          <w:rFonts w:ascii="Times New Roman" w:hAnsi="Times New Roman" w:cs="Times New Roman"/>
          <w:color w:val="4472C4" w:themeColor="accent1"/>
          <w:sz w:val="24"/>
          <w:szCs w:val="24"/>
        </w:rPr>
        <w:t xml:space="preserve"> heard by social services, and then </w:t>
      </w:r>
      <w:r w:rsidR="004E016C">
        <w:rPr>
          <w:rFonts w:ascii="Times New Roman" w:hAnsi="Times New Roman" w:cs="Times New Roman"/>
          <w:color w:val="4472C4" w:themeColor="accent1"/>
          <w:sz w:val="24"/>
          <w:szCs w:val="24"/>
        </w:rPr>
        <w:t>(less commonly</w:t>
      </w:r>
      <w:r w:rsidR="002D751B">
        <w:rPr>
          <w:rFonts w:ascii="Times New Roman" w:hAnsi="Times New Roman" w:cs="Times New Roman"/>
          <w:color w:val="4472C4" w:themeColor="accent1"/>
          <w:sz w:val="24"/>
          <w:szCs w:val="24"/>
        </w:rPr>
        <w:t xml:space="preserve"> for smaller children</w:t>
      </w:r>
      <w:r w:rsidR="004E016C">
        <w:rPr>
          <w:rFonts w:ascii="Times New Roman" w:hAnsi="Times New Roman" w:cs="Times New Roman"/>
          <w:color w:val="4472C4" w:themeColor="accent1"/>
          <w:sz w:val="24"/>
          <w:szCs w:val="24"/>
        </w:rPr>
        <w:t xml:space="preserve">) </w:t>
      </w:r>
      <w:r w:rsidR="0089412C" w:rsidRPr="00C27188">
        <w:rPr>
          <w:rFonts w:ascii="Times New Roman" w:hAnsi="Times New Roman" w:cs="Times New Roman"/>
          <w:color w:val="4472C4" w:themeColor="accent1"/>
          <w:sz w:val="24"/>
          <w:szCs w:val="24"/>
        </w:rPr>
        <w:t xml:space="preserve">they also may be heard in court if the court considers this necessary. </w:t>
      </w:r>
    </w:p>
    <w:p w14:paraId="14217F66" w14:textId="259B22C1" w:rsidR="00C630E5" w:rsidRPr="00C27188" w:rsidRDefault="0089412C" w:rsidP="00BD78C8">
      <w:pPr>
        <w:jc w:val="both"/>
        <w:rPr>
          <w:rFonts w:ascii="Times New Roman" w:hAnsi="Times New Roman" w:cs="Times New Roman"/>
          <w:color w:val="4472C4" w:themeColor="accent1"/>
          <w:sz w:val="24"/>
          <w:szCs w:val="24"/>
        </w:rPr>
      </w:pPr>
      <w:r w:rsidRPr="00C27188">
        <w:rPr>
          <w:rFonts w:ascii="Times New Roman" w:hAnsi="Times New Roman" w:cs="Times New Roman"/>
          <w:color w:val="4472C4" w:themeColor="accent1"/>
          <w:sz w:val="24"/>
          <w:szCs w:val="24"/>
        </w:rPr>
        <w:t>As a result,</w:t>
      </w:r>
      <w:r w:rsidR="00AB4497" w:rsidRPr="00C27188">
        <w:rPr>
          <w:rFonts w:ascii="Times New Roman" w:hAnsi="Times New Roman" w:cs="Times New Roman"/>
          <w:color w:val="4472C4" w:themeColor="accent1"/>
          <w:sz w:val="24"/>
          <w:szCs w:val="24"/>
        </w:rPr>
        <w:t xml:space="preserve"> </w:t>
      </w:r>
      <w:r w:rsidRPr="00C27188">
        <w:rPr>
          <w:rFonts w:ascii="Times New Roman" w:hAnsi="Times New Roman" w:cs="Times New Roman"/>
          <w:color w:val="4472C4" w:themeColor="accent1"/>
          <w:sz w:val="24"/>
          <w:szCs w:val="24"/>
        </w:rPr>
        <w:t xml:space="preserve">in Lithuania </w:t>
      </w:r>
      <w:r w:rsidR="00AB4497" w:rsidRPr="00C27188">
        <w:rPr>
          <w:rFonts w:ascii="Times New Roman" w:hAnsi="Times New Roman" w:cs="Times New Roman"/>
          <w:color w:val="4472C4" w:themeColor="accent1"/>
          <w:sz w:val="24"/>
          <w:szCs w:val="24"/>
        </w:rPr>
        <w:t>c</w:t>
      </w:r>
      <w:r w:rsidR="00704BDE" w:rsidRPr="00C27188">
        <w:rPr>
          <w:rFonts w:ascii="Times New Roman" w:hAnsi="Times New Roman" w:cs="Times New Roman"/>
          <w:color w:val="4472C4" w:themeColor="accent1"/>
          <w:sz w:val="24"/>
          <w:szCs w:val="24"/>
        </w:rPr>
        <w:t xml:space="preserve">hildren are not always heard </w:t>
      </w:r>
      <w:r w:rsidR="00AB4497" w:rsidRPr="00C27188">
        <w:rPr>
          <w:rFonts w:ascii="Times New Roman" w:hAnsi="Times New Roman" w:cs="Times New Roman"/>
          <w:color w:val="4472C4" w:themeColor="accent1"/>
          <w:sz w:val="24"/>
          <w:szCs w:val="24"/>
        </w:rPr>
        <w:t xml:space="preserve">directly </w:t>
      </w:r>
      <w:r w:rsidR="002D751B">
        <w:rPr>
          <w:rFonts w:ascii="Times New Roman" w:hAnsi="Times New Roman" w:cs="Times New Roman"/>
          <w:color w:val="4472C4" w:themeColor="accent1"/>
          <w:sz w:val="24"/>
          <w:szCs w:val="24"/>
        </w:rPr>
        <w:t>by judges</w:t>
      </w:r>
      <w:r w:rsidR="00704BDE" w:rsidRPr="00C27188">
        <w:rPr>
          <w:rFonts w:ascii="Times New Roman" w:hAnsi="Times New Roman" w:cs="Times New Roman"/>
          <w:color w:val="4472C4" w:themeColor="accent1"/>
          <w:sz w:val="24"/>
          <w:szCs w:val="24"/>
        </w:rPr>
        <w:t xml:space="preserve"> in child abduction cases. </w:t>
      </w:r>
      <w:r w:rsidR="00BD78C8" w:rsidRPr="00C27188">
        <w:rPr>
          <w:rFonts w:ascii="Times New Roman" w:hAnsi="Times New Roman" w:cs="Times New Roman"/>
          <w:color w:val="4472C4" w:themeColor="accent1"/>
          <w:sz w:val="24"/>
          <w:szCs w:val="24"/>
        </w:rPr>
        <w:t xml:space="preserve">In </w:t>
      </w:r>
      <w:r w:rsidR="002D751B">
        <w:rPr>
          <w:rFonts w:ascii="Times New Roman" w:hAnsi="Times New Roman" w:cs="Times New Roman"/>
          <w:color w:val="4472C4" w:themeColor="accent1"/>
          <w:sz w:val="24"/>
          <w:szCs w:val="24"/>
        </w:rPr>
        <w:t xml:space="preserve">a </w:t>
      </w:r>
      <w:r w:rsidR="00BD78C8" w:rsidRPr="00C27188">
        <w:rPr>
          <w:rFonts w:ascii="Times New Roman" w:hAnsi="Times New Roman" w:cs="Times New Roman"/>
          <w:color w:val="4472C4" w:themeColor="accent1"/>
          <w:sz w:val="24"/>
          <w:szCs w:val="24"/>
        </w:rPr>
        <w:t>recent Appeal Court case</w:t>
      </w:r>
      <w:r w:rsidR="00BD78C8" w:rsidRPr="00C27188">
        <w:rPr>
          <w:rStyle w:val="FootnoteReference"/>
          <w:rFonts w:ascii="Times New Roman" w:hAnsi="Times New Roman" w:cs="Times New Roman"/>
          <w:color w:val="4472C4" w:themeColor="accent1"/>
          <w:sz w:val="24"/>
          <w:szCs w:val="24"/>
        </w:rPr>
        <w:footnoteReference w:id="28"/>
      </w:r>
      <w:r w:rsidR="00BD78C8" w:rsidRPr="00C27188">
        <w:rPr>
          <w:rFonts w:ascii="Times New Roman" w:hAnsi="Times New Roman" w:cs="Times New Roman"/>
          <w:color w:val="4472C4" w:themeColor="accent1"/>
          <w:sz w:val="24"/>
          <w:szCs w:val="24"/>
        </w:rPr>
        <w:t xml:space="preserve">, the children were heard by social services, which drafted the report (there is no information in the case on how old were the children, but reading the file one of them seemed to be under 5 </w:t>
      </w:r>
      <w:r w:rsidR="008121CD">
        <w:rPr>
          <w:rFonts w:ascii="Times New Roman" w:hAnsi="Times New Roman" w:cs="Times New Roman"/>
          <w:color w:val="4472C4" w:themeColor="accent1"/>
          <w:sz w:val="24"/>
          <w:szCs w:val="24"/>
        </w:rPr>
        <w:t xml:space="preserve">years old </w:t>
      </w:r>
      <w:r w:rsidR="00BD78C8" w:rsidRPr="00C27188">
        <w:rPr>
          <w:rFonts w:ascii="Times New Roman" w:hAnsi="Times New Roman" w:cs="Times New Roman"/>
          <w:color w:val="4472C4" w:themeColor="accent1"/>
          <w:sz w:val="24"/>
          <w:szCs w:val="24"/>
        </w:rPr>
        <w:t>while the other was school age). However, they were not heard directly by the first instance court; moreover, there was also no request from the mother to hear the children</w:t>
      </w:r>
      <w:r w:rsidR="008121CD">
        <w:rPr>
          <w:rFonts w:ascii="Times New Roman" w:hAnsi="Times New Roman" w:cs="Times New Roman"/>
          <w:color w:val="4472C4" w:themeColor="accent1"/>
          <w:sz w:val="24"/>
          <w:szCs w:val="24"/>
        </w:rPr>
        <w:t>,</w:t>
      </w:r>
      <w:r w:rsidR="00BD78C8" w:rsidRPr="00C27188">
        <w:rPr>
          <w:rFonts w:ascii="Times New Roman" w:hAnsi="Times New Roman" w:cs="Times New Roman"/>
          <w:color w:val="4472C4" w:themeColor="accent1"/>
          <w:sz w:val="24"/>
          <w:szCs w:val="24"/>
        </w:rPr>
        <w:t xml:space="preserve"> and the mother did not challenge the social services report itself. On appeal, however, she claimed that it was the duty of the first instance court to hear the children. The Appeal Court noted that the mother, considering that the social services did not conduct a full hearing of the children, was entitled to request the first instance court to order the social services to conduct a re-hearing or to initiate a hearing of the children at a hearing. In appeal proceedings, in the view of the court, it was</w:t>
      </w:r>
      <w:r w:rsidR="002D751B">
        <w:rPr>
          <w:rFonts w:ascii="Times New Roman" w:hAnsi="Times New Roman" w:cs="Times New Roman"/>
          <w:color w:val="4472C4" w:themeColor="accent1"/>
          <w:sz w:val="24"/>
          <w:szCs w:val="24"/>
        </w:rPr>
        <w:t xml:space="preserve"> already</w:t>
      </w:r>
      <w:r w:rsidR="00BD78C8" w:rsidRPr="00C27188">
        <w:rPr>
          <w:rFonts w:ascii="Times New Roman" w:hAnsi="Times New Roman" w:cs="Times New Roman"/>
          <w:color w:val="4472C4" w:themeColor="accent1"/>
          <w:sz w:val="24"/>
          <w:szCs w:val="24"/>
        </w:rPr>
        <w:t xml:space="preserve"> </w:t>
      </w:r>
      <w:r w:rsidR="002D751B">
        <w:rPr>
          <w:rFonts w:ascii="Times New Roman" w:hAnsi="Times New Roman" w:cs="Times New Roman"/>
          <w:color w:val="4472C4" w:themeColor="accent1"/>
          <w:sz w:val="24"/>
          <w:szCs w:val="24"/>
        </w:rPr>
        <w:t>unreasonable</w:t>
      </w:r>
      <w:r w:rsidR="00BD78C8" w:rsidRPr="00C27188">
        <w:rPr>
          <w:rFonts w:ascii="Times New Roman" w:hAnsi="Times New Roman" w:cs="Times New Roman"/>
          <w:color w:val="4472C4" w:themeColor="accent1"/>
          <w:sz w:val="24"/>
          <w:szCs w:val="24"/>
        </w:rPr>
        <w:t xml:space="preserve"> to hear the children</w:t>
      </w:r>
      <w:r w:rsidR="00407CA9">
        <w:rPr>
          <w:rFonts w:ascii="Times New Roman" w:hAnsi="Times New Roman" w:cs="Times New Roman"/>
          <w:color w:val="4472C4" w:themeColor="accent1"/>
          <w:sz w:val="24"/>
          <w:szCs w:val="24"/>
        </w:rPr>
        <w:t>,</w:t>
      </w:r>
      <w:r w:rsidR="00BD78C8" w:rsidRPr="00C27188">
        <w:rPr>
          <w:rFonts w:ascii="Times New Roman" w:hAnsi="Times New Roman" w:cs="Times New Roman"/>
          <w:color w:val="4472C4" w:themeColor="accent1"/>
          <w:sz w:val="24"/>
          <w:szCs w:val="24"/>
        </w:rPr>
        <w:t xml:space="preserve"> and it would unreasonably delay the proceedings and would be inconsistent with one of the fundamental objectives of the </w:t>
      </w:r>
      <w:r w:rsidR="00407CA9">
        <w:rPr>
          <w:rFonts w:ascii="Times New Roman" w:hAnsi="Times New Roman" w:cs="Times New Roman"/>
          <w:color w:val="4472C4" w:themeColor="accent1"/>
          <w:sz w:val="24"/>
          <w:szCs w:val="24"/>
        </w:rPr>
        <w:t xml:space="preserve">1980 </w:t>
      </w:r>
      <w:r w:rsidR="00BD78C8" w:rsidRPr="00C27188">
        <w:rPr>
          <w:rFonts w:ascii="Times New Roman" w:hAnsi="Times New Roman" w:cs="Times New Roman"/>
          <w:color w:val="4472C4" w:themeColor="accent1"/>
          <w:sz w:val="24"/>
          <w:szCs w:val="24"/>
        </w:rPr>
        <w:t>Hague Convention, namely that the courts should deal expeditiously with the issue of the return of the children to their country of origin and to ensure their prompt return (Articles 1 and 2 of the Hague Convention). T</w:t>
      </w:r>
      <w:r w:rsidR="00C630E5" w:rsidRPr="00C27188">
        <w:rPr>
          <w:rFonts w:ascii="Times New Roman" w:hAnsi="Times New Roman" w:cs="Times New Roman"/>
          <w:color w:val="4472C4" w:themeColor="accent1"/>
          <w:sz w:val="24"/>
          <w:szCs w:val="24"/>
        </w:rPr>
        <w:t xml:space="preserve">he </w:t>
      </w:r>
      <w:r w:rsidR="00BD78C8" w:rsidRPr="00C27188">
        <w:rPr>
          <w:rFonts w:ascii="Times New Roman" w:hAnsi="Times New Roman" w:cs="Times New Roman"/>
          <w:color w:val="4472C4" w:themeColor="accent1"/>
          <w:sz w:val="24"/>
          <w:szCs w:val="24"/>
        </w:rPr>
        <w:t xml:space="preserve">Court of Appeal also </w:t>
      </w:r>
      <w:r w:rsidR="00C630E5" w:rsidRPr="00C27188">
        <w:rPr>
          <w:rFonts w:ascii="Times New Roman" w:hAnsi="Times New Roman" w:cs="Times New Roman"/>
          <w:color w:val="4472C4" w:themeColor="accent1"/>
          <w:sz w:val="24"/>
          <w:szCs w:val="24"/>
        </w:rPr>
        <w:t xml:space="preserve">referred to the </w:t>
      </w:r>
      <w:r w:rsidR="002D751B">
        <w:rPr>
          <w:rFonts w:ascii="Times New Roman" w:hAnsi="Times New Roman" w:cs="Times New Roman"/>
          <w:color w:val="4472C4" w:themeColor="accent1"/>
          <w:sz w:val="24"/>
          <w:szCs w:val="24"/>
        </w:rPr>
        <w:t>case law</w:t>
      </w:r>
      <w:r w:rsidR="00C630E5" w:rsidRPr="00C27188">
        <w:rPr>
          <w:rFonts w:ascii="Times New Roman" w:hAnsi="Times New Roman" w:cs="Times New Roman"/>
          <w:color w:val="4472C4" w:themeColor="accent1"/>
          <w:sz w:val="24"/>
          <w:szCs w:val="24"/>
        </w:rPr>
        <w:t xml:space="preserve"> of the European Court of Human Rights (ECtHR) </w:t>
      </w:r>
      <w:r w:rsidR="00BD78C8" w:rsidRPr="00C27188">
        <w:rPr>
          <w:rFonts w:ascii="Times New Roman" w:hAnsi="Times New Roman" w:cs="Times New Roman"/>
          <w:color w:val="4472C4" w:themeColor="accent1"/>
          <w:sz w:val="24"/>
          <w:szCs w:val="24"/>
        </w:rPr>
        <w:t xml:space="preserve">that </w:t>
      </w:r>
      <w:r w:rsidR="00C630E5" w:rsidRPr="00C27188">
        <w:rPr>
          <w:rFonts w:ascii="Times New Roman" w:hAnsi="Times New Roman" w:cs="Times New Roman"/>
          <w:color w:val="4472C4" w:themeColor="accent1"/>
          <w:sz w:val="24"/>
          <w:szCs w:val="24"/>
        </w:rPr>
        <w:t>recognises that the court should not be obliged to hear the child at all times at the hearing and should have the discretion to assess the need for a hearing in the light of the particular circumstances of the case and the age and maturity of the child concerned.</w:t>
      </w:r>
      <w:r w:rsidR="00C630E5" w:rsidRPr="00C27188">
        <w:rPr>
          <w:rStyle w:val="FootnoteReference"/>
          <w:rFonts w:ascii="Times New Roman" w:hAnsi="Times New Roman" w:cs="Times New Roman"/>
          <w:color w:val="4472C4" w:themeColor="accent1"/>
          <w:sz w:val="24"/>
          <w:szCs w:val="24"/>
        </w:rPr>
        <w:footnoteReference w:id="29"/>
      </w:r>
      <w:r w:rsidR="00C630E5" w:rsidRPr="00C27188">
        <w:rPr>
          <w:rFonts w:ascii="Times New Roman" w:hAnsi="Times New Roman" w:cs="Times New Roman"/>
          <w:color w:val="4472C4" w:themeColor="accent1"/>
          <w:sz w:val="24"/>
          <w:szCs w:val="24"/>
        </w:rPr>
        <w:t xml:space="preserve"> The </w:t>
      </w:r>
      <w:r w:rsidR="00BD78C8" w:rsidRPr="00C27188">
        <w:rPr>
          <w:rFonts w:ascii="Times New Roman" w:hAnsi="Times New Roman" w:cs="Times New Roman"/>
          <w:color w:val="4472C4" w:themeColor="accent1"/>
          <w:sz w:val="24"/>
          <w:szCs w:val="24"/>
        </w:rPr>
        <w:t xml:space="preserve">Court of Appeal noted that the </w:t>
      </w:r>
      <w:r w:rsidR="002D751B">
        <w:rPr>
          <w:rFonts w:ascii="Times New Roman" w:hAnsi="Times New Roman" w:cs="Times New Roman"/>
          <w:color w:val="4472C4" w:themeColor="accent1"/>
          <w:sz w:val="24"/>
          <w:szCs w:val="24"/>
        </w:rPr>
        <w:t>case law</w:t>
      </w:r>
      <w:r w:rsidR="00C630E5" w:rsidRPr="00C27188">
        <w:rPr>
          <w:rFonts w:ascii="Times New Roman" w:hAnsi="Times New Roman" w:cs="Times New Roman"/>
          <w:color w:val="4472C4" w:themeColor="accent1"/>
          <w:sz w:val="24"/>
          <w:szCs w:val="24"/>
        </w:rPr>
        <w:t xml:space="preserve"> of the Court of Justice of the European Union (CJEU) also takes the view that the court</w:t>
      </w:r>
      <w:r w:rsidR="00407CA9">
        <w:rPr>
          <w:rFonts w:ascii="Times New Roman" w:hAnsi="Times New Roman" w:cs="Times New Roman"/>
          <w:color w:val="4472C4" w:themeColor="accent1"/>
          <w:sz w:val="24"/>
          <w:szCs w:val="24"/>
        </w:rPr>
        <w:t>,</w:t>
      </w:r>
      <w:r w:rsidR="00C630E5" w:rsidRPr="00C27188">
        <w:rPr>
          <w:rFonts w:ascii="Times New Roman" w:hAnsi="Times New Roman" w:cs="Times New Roman"/>
          <w:color w:val="4472C4" w:themeColor="accent1"/>
          <w:sz w:val="24"/>
          <w:szCs w:val="24"/>
        </w:rPr>
        <w:t xml:space="preserve"> which has to decide on the return of the child</w:t>
      </w:r>
      <w:r w:rsidR="00407CA9">
        <w:rPr>
          <w:rFonts w:ascii="Times New Roman" w:hAnsi="Times New Roman" w:cs="Times New Roman"/>
          <w:color w:val="4472C4" w:themeColor="accent1"/>
          <w:sz w:val="24"/>
          <w:szCs w:val="24"/>
        </w:rPr>
        <w:t>,</w:t>
      </w:r>
      <w:r w:rsidR="00C630E5" w:rsidRPr="00C27188">
        <w:rPr>
          <w:rFonts w:ascii="Times New Roman" w:hAnsi="Times New Roman" w:cs="Times New Roman"/>
          <w:color w:val="4472C4" w:themeColor="accent1"/>
          <w:sz w:val="24"/>
          <w:szCs w:val="24"/>
        </w:rPr>
        <w:t xml:space="preserve"> has the discretion to hear the child. The child's right to express his or her views does not create an absolute obligation for the court to hear him or her in every abduction case.</w:t>
      </w:r>
      <w:r w:rsidR="00C630E5" w:rsidRPr="00C27188">
        <w:rPr>
          <w:rStyle w:val="FootnoteReference"/>
          <w:rFonts w:ascii="Times New Roman" w:hAnsi="Times New Roman" w:cs="Times New Roman"/>
          <w:color w:val="4472C4" w:themeColor="accent1"/>
          <w:sz w:val="24"/>
          <w:szCs w:val="24"/>
        </w:rPr>
        <w:footnoteReference w:id="30"/>
      </w:r>
    </w:p>
    <w:p w14:paraId="1AB12A3C" w14:textId="0ED902B9" w:rsidR="00BD78C8" w:rsidRPr="00C27188" w:rsidRDefault="00BD78C8" w:rsidP="00704BDE">
      <w:pPr>
        <w:jc w:val="both"/>
        <w:rPr>
          <w:rFonts w:ascii="Times New Roman" w:hAnsi="Times New Roman" w:cs="Times New Roman"/>
          <w:color w:val="4472C4" w:themeColor="accent1"/>
          <w:sz w:val="24"/>
          <w:szCs w:val="24"/>
        </w:rPr>
      </w:pPr>
      <w:r w:rsidRPr="00C27188">
        <w:rPr>
          <w:rFonts w:ascii="Times New Roman" w:hAnsi="Times New Roman" w:cs="Times New Roman"/>
          <w:color w:val="4472C4" w:themeColor="accent1"/>
          <w:sz w:val="24"/>
          <w:szCs w:val="24"/>
        </w:rPr>
        <w:t>Hearing the child does require the court always to take child’s views into account. In a recent child abduction case</w:t>
      </w:r>
      <w:r w:rsidRPr="00C27188">
        <w:rPr>
          <w:rStyle w:val="FootnoteReference"/>
          <w:rFonts w:ascii="Times New Roman" w:hAnsi="Times New Roman" w:cs="Times New Roman"/>
          <w:color w:val="4472C4" w:themeColor="accent1"/>
          <w:sz w:val="24"/>
          <w:szCs w:val="24"/>
        </w:rPr>
        <w:footnoteReference w:id="31"/>
      </w:r>
      <w:r w:rsidRPr="00C27188">
        <w:rPr>
          <w:rFonts w:ascii="Times New Roman" w:hAnsi="Times New Roman" w:cs="Times New Roman"/>
          <w:color w:val="4472C4" w:themeColor="accent1"/>
          <w:sz w:val="24"/>
          <w:szCs w:val="24"/>
        </w:rPr>
        <w:t xml:space="preserve">, the Court of Appeal repeatedly noted that Article 13(2) of the Hague Convention establishes the right, but not the obligation, of the court to take into account the views of the children when deciding on the return of the children to the State of origin. Article 13(2) of the Hague Convention provides that the court may refuse to order the return of the child if it finds that the child opposes the return and has reached an age and maturity at which it is appropriate to take his or her views into account, but this is for the court to decide. </w:t>
      </w:r>
    </w:p>
    <w:p w14:paraId="7FDE660C" w14:textId="77777777" w:rsidR="00704BDE" w:rsidRPr="00704BDE" w:rsidRDefault="00704BDE" w:rsidP="00704BDE">
      <w:pPr>
        <w:jc w:val="both"/>
        <w:rPr>
          <w:rFonts w:ascii="Times New Roman" w:hAnsi="Times New Roman" w:cs="Times New Roman"/>
        </w:rPr>
      </w:pPr>
    </w:p>
    <w:p w14:paraId="70E204C5" w14:textId="0486A086" w:rsidR="00DA5030" w:rsidRPr="00C544E3" w:rsidRDefault="00DA5030" w:rsidP="008A76E4">
      <w:pPr>
        <w:pStyle w:val="Heading2"/>
        <w:jc w:val="both"/>
      </w:pPr>
      <w:bookmarkStart w:id="4" w:name="_Toc122349474"/>
      <w:r w:rsidRPr="00C544E3">
        <w:t>Article 4 – “habitual residence”</w:t>
      </w:r>
      <w:bookmarkEnd w:id="4"/>
    </w:p>
    <w:p w14:paraId="3BC8D7F9" w14:textId="77777777" w:rsidR="00DA5030" w:rsidRPr="00C544E3" w:rsidRDefault="00DA5030" w:rsidP="008A76E4">
      <w:pPr>
        <w:jc w:val="both"/>
      </w:pPr>
    </w:p>
    <w:p w14:paraId="19CF0FB5" w14:textId="19888849" w:rsidR="00C7229C" w:rsidRPr="00C544E3" w:rsidRDefault="00CD4BEF" w:rsidP="008A76E4">
      <w:pPr>
        <w:pStyle w:val="ListParagraph"/>
        <w:numPr>
          <w:ilvl w:val="0"/>
          <w:numId w:val="8"/>
        </w:numPr>
        <w:jc w:val="both"/>
        <w:rPr>
          <w:rFonts w:ascii="Times New Roman" w:hAnsi="Times New Roman" w:cs="Times New Roman"/>
        </w:rPr>
      </w:pPr>
      <w:r w:rsidRPr="00C544E3">
        <w:rPr>
          <w:rFonts w:ascii="Times New Roman" w:hAnsi="Times New Roman" w:cs="Times New Roman"/>
        </w:rPr>
        <w:t xml:space="preserve">Is the concept of “habitual </w:t>
      </w:r>
      <w:r w:rsidR="00246C02" w:rsidRPr="00C544E3">
        <w:rPr>
          <w:rFonts w:ascii="Times New Roman" w:hAnsi="Times New Roman" w:cs="Times New Roman"/>
        </w:rPr>
        <w:t>residence” interpreted differently</w:t>
      </w:r>
      <w:r w:rsidR="004B5029" w:rsidRPr="00C544E3">
        <w:rPr>
          <w:rFonts w:ascii="Times New Roman" w:hAnsi="Times New Roman" w:cs="Times New Roman"/>
        </w:rPr>
        <w:t xml:space="preserve"> in your jurisdiction</w:t>
      </w:r>
      <w:r w:rsidR="00246C02" w:rsidRPr="00C544E3">
        <w:rPr>
          <w:rFonts w:ascii="Times New Roman" w:hAnsi="Times New Roman" w:cs="Times New Roman"/>
        </w:rPr>
        <w:t xml:space="preserve"> in</w:t>
      </w:r>
      <w:r w:rsidR="004B5029" w:rsidRPr="00C544E3">
        <w:rPr>
          <w:rFonts w:ascii="Times New Roman" w:hAnsi="Times New Roman" w:cs="Times New Roman"/>
        </w:rPr>
        <w:t>: 1.)</w:t>
      </w:r>
      <w:r w:rsidR="00246C02" w:rsidRPr="00C544E3">
        <w:rPr>
          <w:rFonts w:ascii="Times New Roman" w:hAnsi="Times New Roman" w:cs="Times New Roman"/>
        </w:rPr>
        <w:t xml:space="preserve"> intra-EU cases,</w:t>
      </w:r>
      <w:r w:rsidR="004B5029" w:rsidRPr="00C544E3">
        <w:rPr>
          <w:rFonts w:ascii="Times New Roman" w:hAnsi="Times New Roman" w:cs="Times New Roman"/>
        </w:rPr>
        <w:t xml:space="preserve"> 2.) </w:t>
      </w:r>
      <w:r w:rsidR="00246C02" w:rsidRPr="00C544E3">
        <w:rPr>
          <w:rFonts w:ascii="Times New Roman" w:hAnsi="Times New Roman" w:cs="Times New Roman"/>
        </w:rPr>
        <w:t>cases involving third states</w:t>
      </w:r>
      <w:r w:rsidR="004B5029" w:rsidRPr="00C544E3">
        <w:rPr>
          <w:rFonts w:ascii="Times New Roman" w:hAnsi="Times New Roman" w:cs="Times New Roman"/>
        </w:rPr>
        <w:t>, and 3.)</w:t>
      </w:r>
      <w:r w:rsidR="00246C02" w:rsidRPr="00C544E3">
        <w:rPr>
          <w:rFonts w:ascii="Times New Roman" w:hAnsi="Times New Roman" w:cs="Times New Roman"/>
        </w:rPr>
        <w:t xml:space="preserve"> cases involving states that are not contracting parties to the 1980 Convention (i.e., when applying national PIL rules)? </w:t>
      </w:r>
      <w:r w:rsidR="00673187" w:rsidRPr="00C544E3">
        <w:rPr>
          <w:rFonts w:ascii="Times New Roman" w:hAnsi="Times New Roman" w:cs="Times New Roman"/>
        </w:rPr>
        <w:t>Please explain</w:t>
      </w:r>
      <w:r w:rsidR="00900386" w:rsidRPr="00C544E3">
        <w:rPr>
          <w:rFonts w:ascii="Times New Roman" w:hAnsi="Times New Roman" w:cs="Times New Roman"/>
        </w:rPr>
        <w:t>.</w:t>
      </w:r>
    </w:p>
    <w:p w14:paraId="1DD18A89" w14:textId="60727599" w:rsidR="00C7229C" w:rsidRDefault="00C7229C" w:rsidP="003F06AA">
      <w:pPr>
        <w:pStyle w:val="ListParagraph"/>
        <w:jc w:val="both"/>
        <w:rPr>
          <w:rFonts w:ascii="Times New Roman" w:hAnsi="Times New Roman" w:cs="Times New Roman"/>
        </w:rPr>
      </w:pPr>
    </w:p>
    <w:p w14:paraId="3FBFE403" w14:textId="0757CC04" w:rsidR="00321141" w:rsidRPr="008A5E0F" w:rsidRDefault="000C689E" w:rsidP="00321141">
      <w:pPr>
        <w:jc w:val="both"/>
        <w:rPr>
          <w:rFonts w:ascii="Times New Roman" w:hAnsi="Times New Roman" w:cs="Times New Roman"/>
          <w:color w:val="4472C4" w:themeColor="accent1"/>
          <w:sz w:val="24"/>
          <w:szCs w:val="24"/>
        </w:rPr>
      </w:pPr>
      <w:r w:rsidRPr="008A5E0F">
        <w:rPr>
          <w:rFonts w:ascii="Times New Roman" w:hAnsi="Times New Roman" w:cs="Times New Roman"/>
          <w:color w:val="4472C4" w:themeColor="accent1"/>
          <w:sz w:val="24"/>
          <w:szCs w:val="24"/>
        </w:rPr>
        <w:t>T</w:t>
      </w:r>
      <w:r w:rsidR="00321141" w:rsidRPr="008A5E0F">
        <w:rPr>
          <w:rFonts w:ascii="Times New Roman" w:hAnsi="Times New Roman" w:cs="Times New Roman"/>
          <w:color w:val="4472C4" w:themeColor="accent1"/>
          <w:sz w:val="24"/>
          <w:szCs w:val="24"/>
        </w:rPr>
        <w:t xml:space="preserve">he concept </w:t>
      </w:r>
      <w:r w:rsidRPr="008A5E0F">
        <w:rPr>
          <w:rFonts w:ascii="Times New Roman" w:hAnsi="Times New Roman" w:cs="Times New Roman"/>
          <w:color w:val="4472C4" w:themeColor="accent1"/>
          <w:sz w:val="24"/>
          <w:szCs w:val="24"/>
        </w:rPr>
        <w:t xml:space="preserve">of habitual residence seems to have </w:t>
      </w:r>
      <w:r w:rsidR="00321141" w:rsidRPr="008A5E0F">
        <w:rPr>
          <w:rFonts w:ascii="Times New Roman" w:hAnsi="Times New Roman" w:cs="Times New Roman"/>
          <w:color w:val="4472C4" w:themeColor="accent1"/>
          <w:sz w:val="24"/>
          <w:szCs w:val="24"/>
        </w:rPr>
        <w:t xml:space="preserve">established itself in </w:t>
      </w:r>
      <w:r w:rsidR="007E5DDD" w:rsidRPr="008A5E0F">
        <w:rPr>
          <w:rFonts w:ascii="Times New Roman" w:hAnsi="Times New Roman" w:cs="Times New Roman"/>
          <w:color w:val="4472C4" w:themeColor="accent1"/>
          <w:sz w:val="24"/>
          <w:szCs w:val="24"/>
        </w:rPr>
        <w:t xml:space="preserve">national case law, </w:t>
      </w:r>
      <w:r w:rsidR="004E016C">
        <w:rPr>
          <w:rFonts w:ascii="Times New Roman" w:hAnsi="Times New Roman" w:cs="Times New Roman"/>
          <w:color w:val="4472C4" w:themeColor="accent1"/>
          <w:sz w:val="24"/>
          <w:szCs w:val="24"/>
        </w:rPr>
        <w:t>and</w:t>
      </w:r>
      <w:r w:rsidR="008A5E0F" w:rsidRPr="008A5E0F">
        <w:rPr>
          <w:rFonts w:ascii="Times New Roman" w:hAnsi="Times New Roman" w:cs="Times New Roman"/>
          <w:color w:val="4472C4" w:themeColor="accent1"/>
          <w:sz w:val="24"/>
          <w:szCs w:val="24"/>
        </w:rPr>
        <w:t xml:space="preserve"> </w:t>
      </w:r>
      <w:r w:rsidRPr="008A5E0F">
        <w:rPr>
          <w:rFonts w:ascii="Times New Roman" w:hAnsi="Times New Roman" w:cs="Times New Roman"/>
          <w:color w:val="4472C4" w:themeColor="accent1"/>
          <w:sz w:val="24"/>
          <w:szCs w:val="24"/>
        </w:rPr>
        <w:t xml:space="preserve">overall </w:t>
      </w:r>
      <w:r w:rsidR="008A5E0F" w:rsidRPr="008A5E0F">
        <w:rPr>
          <w:rFonts w:ascii="Times New Roman" w:hAnsi="Times New Roman" w:cs="Times New Roman"/>
          <w:color w:val="4472C4" w:themeColor="accent1"/>
          <w:sz w:val="24"/>
          <w:szCs w:val="24"/>
        </w:rPr>
        <w:t xml:space="preserve">it </w:t>
      </w:r>
      <w:r w:rsidRPr="008A5E0F">
        <w:rPr>
          <w:rFonts w:ascii="Times New Roman" w:hAnsi="Times New Roman" w:cs="Times New Roman"/>
          <w:color w:val="4472C4" w:themeColor="accent1"/>
          <w:sz w:val="24"/>
          <w:szCs w:val="24"/>
        </w:rPr>
        <w:t>is</w:t>
      </w:r>
      <w:r w:rsidR="007E5DDD" w:rsidRPr="008A5E0F">
        <w:rPr>
          <w:rFonts w:ascii="Times New Roman" w:hAnsi="Times New Roman" w:cs="Times New Roman"/>
          <w:color w:val="4472C4" w:themeColor="accent1"/>
          <w:sz w:val="24"/>
          <w:szCs w:val="24"/>
        </w:rPr>
        <w:t xml:space="preserve"> interpreted consistently</w:t>
      </w:r>
      <w:r w:rsidRPr="008A5E0F">
        <w:rPr>
          <w:rFonts w:ascii="Times New Roman" w:hAnsi="Times New Roman" w:cs="Times New Roman"/>
          <w:color w:val="4472C4" w:themeColor="accent1"/>
          <w:sz w:val="24"/>
          <w:szCs w:val="24"/>
        </w:rPr>
        <w:t>.</w:t>
      </w:r>
      <w:r w:rsidR="007E5DDD" w:rsidRPr="008A5E0F">
        <w:rPr>
          <w:rFonts w:ascii="Times New Roman" w:hAnsi="Times New Roman" w:cs="Times New Roman"/>
          <w:color w:val="4472C4" w:themeColor="accent1"/>
          <w:sz w:val="24"/>
          <w:szCs w:val="24"/>
        </w:rPr>
        <w:t xml:space="preserve"> </w:t>
      </w:r>
      <w:r w:rsidRPr="008A5E0F">
        <w:rPr>
          <w:rFonts w:ascii="Times New Roman" w:hAnsi="Times New Roman" w:cs="Times New Roman"/>
          <w:color w:val="4472C4" w:themeColor="accent1"/>
          <w:sz w:val="24"/>
          <w:szCs w:val="24"/>
        </w:rPr>
        <w:t>The</w:t>
      </w:r>
      <w:r w:rsidR="007E5DDD" w:rsidRPr="008A5E0F">
        <w:rPr>
          <w:rFonts w:ascii="Times New Roman" w:hAnsi="Times New Roman" w:cs="Times New Roman"/>
          <w:color w:val="4472C4" w:themeColor="accent1"/>
          <w:sz w:val="24"/>
          <w:szCs w:val="24"/>
        </w:rPr>
        <w:t xml:space="preserve"> </w:t>
      </w:r>
      <w:r w:rsidRPr="008A5E0F">
        <w:rPr>
          <w:rFonts w:ascii="Times New Roman" w:hAnsi="Times New Roman" w:cs="Times New Roman"/>
          <w:color w:val="4472C4" w:themeColor="accent1"/>
          <w:sz w:val="24"/>
          <w:szCs w:val="24"/>
        </w:rPr>
        <w:t>intra-</w:t>
      </w:r>
      <w:r w:rsidR="007E5DDD" w:rsidRPr="008A5E0F">
        <w:rPr>
          <w:rFonts w:ascii="Times New Roman" w:hAnsi="Times New Roman" w:cs="Times New Roman"/>
          <w:color w:val="4472C4" w:themeColor="accent1"/>
          <w:sz w:val="24"/>
          <w:szCs w:val="24"/>
        </w:rPr>
        <w:t>EU cases</w:t>
      </w:r>
      <w:r w:rsidR="008A5E0F" w:rsidRPr="008A5E0F">
        <w:rPr>
          <w:rFonts w:ascii="Times New Roman" w:hAnsi="Times New Roman" w:cs="Times New Roman"/>
          <w:color w:val="4472C4" w:themeColor="accent1"/>
          <w:sz w:val="24"/>
          <w:szCs w:val="24"/>
        </w:rPr>
        <w:t>, the courts</w:t>
      </w:r>
      <w:r w:rsidR="007E5DDD" w:rsidRPr="008A5E0F">
        <w:rPr>
          <w:rFonts w:ascii="Times New Roman" w:hAnsi="Times New Roman" w:cs="Times New Roman"/>
          <w:color w:val="4472C4" w:themeColor="accent1"/>
          <w:sz w:val="24"/>
          <w:szCs w:val="24"/>
        </w:rPr>
        <w:t xml:space="preserve"> usually </w:t>
      </w:r>
      <w:r w:rsidRPr="008A5E0F">
        <w:rPr>
          <w:rFonts w:ascii="Times New Roman" w:hAnsi="Times New Roman" w:cs="Times New Roman"/>
          <w:color w:val="4472C4" w:themeColor="accent1"/>
          <w:sz w:val="24"/>
          <w:szCs w:val="24"/>
        </w:rPr>
        <w:t>cite</w:t>
      </w:r>
      <w:r w:rsidR="007E5DDD" w:rsidRPr="008A5E0F">
        <w:rPr>
          <w:rFonts w:ascii="Times New Roman" w:hAnsi="Times New Roman" w:cs="Times New Roman"/>
          <w:color w:val="4472C4" w:themeColor="accent1"/>
          <w:sz w:val="24"/>
          <w:szCs w:val="24"/>
        </w:rPr>
        <w:t xml:space="preserve"> the CJEU case law and the case law of national courts.</w:t>
      </w:r>
    </w:p>
    <w:p w14:paraId="01F3CA04" w14:textId="6273CCE5" w:rsidR="000C689E" w:rsidRPr="008A5E0F" w:rsidRDefault="000C689E" w:rsidP="00321141">
      <w:pPr>
        <w:jc w:val="both"/>
        <w:rPr>
          <w:rFonts w:ascii="Times New Roman" w:hAnsi="Times New Roman" w:cs="Times New Roman"/>
          <w:color w:val="4472C4" w:themeColor="accent1"/>
          <w:sz w:val="24"/>
          <w:szCs w:val="24"/>
        </w:rPr>
      </w:pPr>
      <w:r w:rsidRPr="008A5E0F">
        <w:rPr>
          <w:rFonts w:ascii="Times New Roman" w:hAnsi="Times New Roman" w:cs="Times New Roman"/>
          <w:color w:val="4472C4" w:themeColor="accent1"/>
          <w:sz w:val="24"/>
          <w:szCs w:val="24"/>
        </w:rPr>
        <w:t xml:space="preserve">The Supreme Court has underlined that the Brussels </w:t>
      </w:r>
      <w:proofErr w:type="spellStart"/>
      <w:r w:rsidRPr="008A5E0F">
        <w:rPr>
          <w:rFonts w:ascii="Times New Roman" w:hAnsi="Times New Roman" w:cs="Times New Roman"/>
          <w:color w:val="4472C4" w:themeColor="accent1"/>
          <w:sz w:val="24"/>
          <w:szCs w:val="24"/>
        </w:rPr>
        <w:t>IIa</w:t>
      </w:r>
      <w:proofErr w:type="spellEnd"/>
      <w:r w:rsidRPr="008A5E0F">
        <w:rPr>
          <w:rFonts w:ascii="Times New Roman" w:hAnsi="Times New Roman" w:cs="Times New Roman"/>
          <w:color w:val="4472C4" w:themeColor="accent1"/>
          <w:sz w:val="24"/>
          <w:szCs w:val="24"/>
        </w:rPr>
        <w:t xml:space="preserve"> Regulation does not contain a concept of habitual residence </w:t>
      </w:r>
      <w:r w:rsidR="008A27D6">
        <w:rPr>
          <w:rFonts w:ascii="Times New Roman" w:hAnsi="Times New Roman" w:cs="Times New Roman"/>
          <w:color w:val="4472C4" w:themeColor="accent1"/>
          <w:sz w:val="24"/>
          <w:szCs w:val="24"/>
        </w:rPr>
        <w:t>and that t</w:t>
      </w:r>
      <w:r w:rsidRPr="008A5E0F">
        <w:rPr>
          <w:rFonts w:ascii="Times New Roman" w:hAnsi="Times New Roman" w:cs="Times New Roman"/>
          <w:color w:val="4472C4" w:themeColor="accent1"/>
          <w:sz w:val="24"/>
          <w:szCs w:val="24"/>
        </w:rPr>
        <w:t xml:space="preserve">he term </w:t>
      </w:r>
      <w:r w:rsidR="008A27D6">
        <w:rPr>
          <w:rFonts w:ascii="Times New Roman" w:hAnsi="Times New Roman" w:cs="Times New Roman"/>
          <w:color w:val="4472C4" w:themeColor="accent1"/>
          <w:sz w:val="24"/>
          <w:szCs w:val="24"/>
        </w:rPr>
        <w:t>‘</w:t>
      </w:r>
      <w:r w:rsidRPr="008A5E0F">
        <w:rPr>
          <w:rFonts w:ascii="Times New Roman" w:hAnsi="Times New Roman" w:cs="Times New Roman"/>
          <w:color w:val="4472C4" w:themeColor="accent1"/>
          <w:sz w:val="24"/>
          <w:szCs w:val="24"/>
        </w:rPr>
        <w:t>habitual residence</w:t>
      </w:r>
      <w:r w:rsidR="008A27D6">
        <w:rPr>
          <w:rFonts w:ascii="Times New Roman" w:hAnsi="Times New Roman" w:cs="Times New Roman"/>
          <w:color w:val="4472C4" w:themeColor="accent1"/>
          <w:sz w:val="24"/>
          <w:szCs w:val="24"/>
        </w:rPr>
        <w:t>’</w:t>
      </w:r>
      <w:r w:rsidRPr="008A5E0F">
        <w:rPr>
          <w:rFonts w:ascii="Times New Roman" w:hAnsi="Times New Roman" w:cs="Times New Roman"/>
          <w:color w:val="4472C4" w:themeColor="accent1"/>
          <w:sz w:val="24"/>
          <w:szCs w:val="24"/>
        </w:rPr>
        <w:t xml:space="preserve"> should be interpreted autonomously, in particular in the light of the principles set out in the </w:t>
      </w:r>
      <w:r w:rsidR="008A27D6">
        <w:rPr>
          <w:rFonts w:ascii="Times New Roman" w:hAnsi="Times New Roman" w:cs="Times New Roman"/>
          <w:color w:val="4472C4" w:themeColor="accent1"/>
          <w:sz w:val="24"/>
          <w:szCs w:val="24"/>
        </w:rPr>
        <w:t>case law</w:t>
      </w:r>
      <w:r w:rsidRPr="008A5E0F">
        <w:rPr>
          <w:rFonts w:ascii="Times New Roman" w:hAnsi="Times New Roman" w:cs="Times New Roman"/>
          <w:color w:val="4472C4" w:themeColor="accent1"/>
          <w:sz w:val="24"/>
          <w:szCs w:val="24"/>
        </w:rPr>
        <w:t xml:space="preserve"> of the CJEU.</w:t>
      </w:r>
      <w:r w:rsidR="008A27D6" w:rsidRPr="008A27D6">
        <w:rPr>
          <w:rStyle w:val="FootnoteReference"/>
          <w:rFonts w:ascii="Times New Roman" w:hAnsi="Times New Roman" w:cs="Times New Roman"/>
          <w:color w:val="4472C4" w:themeColor="accent1"/>
          <w:sz w:val="24"/>
          <w:szCs w:val="24"/>
        </w:rPr>
        <w:t xml:space="preserve"> </w:t>
      </w:r>
      <w:r w:rsidR="008A27D6" w:rsidRPr="008A5E0F">
        <w:rPr>
          <w:rStyle w:val="FootnoteReference"/>
          <w:rFonts w:ascii="Times New Roman" w:hAnsi="Times New Roman" w:cs="Times New Roman"/>
          <w:color w:val="4472C4" w:themeColor="accent1"/>
          <w:sz w:val="24"/>
          <w:szCs w:val="24"/>
        </w:rPr>
        <w:footnoteReference w:id="32"/>
      </w:r>
      <w:r w:rsidRPr="008A5E0F">
        <w:rPr>
          <w:rFonts w:ascii="Times New Roman" w:hAnsi="Times New Roman" w:cs="Times New Roman"/>
          <w:color w:val="4472C4" w:themeColor="accent1"/>
          <w:sz w:val="24"/>
          <w:szCs w:val="24"/>
        </w:rPr>
        <w:t xml:space="preserve"> The Supreme Court has </w:t>
      </w:r>
      <w:r w:rsidR="008A5E0F" w:rsidRPr="008A5E0F">
        <w:rPr>
          <w:rFonts w:ascii="Times New Roman" w:hAnsi="Times New Roman" w:cs="Times New Roman"/>
          <w:color w:val="4472C4" w:themeColor="accent1"/>
          <w:sz w:val="24"/>
          <w:szCs w:val="24"/>
        </w:rPr>
        <w:t>summarised</w:t>
      </w:r>
      <w:r w:rsidRPr="008A5E0F">
        <w:rPr>
          <w:rFonts w:ascii="Times New Roman" w:hAnsi="Times New Roman" w:cs="Times New Roman"/>
          <w:color w:val="4472C4" w:themeColor="accent1"/>
          <w:sz w:val="24"/>
          <w:szCs w:val="24"/>
        </w:rPr>
        <w:t xml:space="preserve"> the CJEU guidelines as follows: account must be taken of the individual situation of the person and of the specific circumstances of the case in question</w:t>
      </w:r>
      <w:r w:rsidRPr="008A5E0F">
        <w:rPr>
          <w:rStyle w:val="FootnoteReference"/>
          <w:rFonts w:ascii="Times New Roman" w:hAnsi="Times New Roman" w:cs="Times New Roman"/>
          <w:color w:val="4472C4" w:themeColor="accent1"/>
          <w:sz w:val="24"/>
          <w:szCs w:val="24"/>
        </w:rPr>
        <w:footnoteReference w:id="33"/>
      </w:r>
      <w:r w:rsidRPr="008A5E0F">
        <w:rPr>
          <w:rFonts w:ascii="Times New Roman" w:hAnsi="Times New Roman" w:cs="Times New Roman"/>
          <w:color w:val="4472C4" w:themeColor="accent1"/>
          <w:sz w:val="24"/>
          <w:szCs w:val="24"/>
        </w:rPr>
        <w:t>; the following criteria are relevant for the determination of habitual residence: (</w:t>
      </w:r>
      <w:proofErr w:type="spellStart"/>
      <w:r w:rsidR="008A27D6">
        <w:rPr>
          <w:rFonts w:ascii="Times New Roman" w:hAnsi="Times New Roman" w:cs="Times New Roman"/>
          <w:color w:val="4472C4" w:themeColor="accent1"/>
          <w:sz w:val="24"/>
          <w:szCs w:val="24"/>
        </w:rPr>
        <w:t>i</w:t>
      </w:r>
      <w:proofErr w:type="spellEnd"/>
      <w:r w:rsidRPr="008A5E0F">
        <w:rPr>
          <w:rFonts w:ascii="Times New Roman" w:hAnsi="Times New Roman" w:cs="Times New Roman"/>
          <w:color w:val="4472C4" w:themeColor="accent1"/>
          <w:sz w:val="24"/>
          <w:szCs w:val="24"/>
        </w:rPr>
        <w:t>) the duration of the stay in the territory of the State concerned; (</w:t>
      </w:r>
      <w:r w:rsidR="008A27D6">
        <w:rPr>
          <w:rFonts w:ascii="Times New Roman" w:hAnsi="Times New Roman" w:cs="Times New Roman"/>
          <w:color w:val="4472C4" w:themeColor="accent1"/>
          <w:sz w:val="24"/>
          <w:szCs w:val="24"/>
        </w:rPr>
        <w:t>ii</w:t>
      </w:r>
      <w:r w:rsidRPr="008A5E0F">
        <w:rPr>
          <w:rFonts w:ascii="Times New Roman" w:hAnsi="Times New Roman" w:cs="Times New Roman"/>
          <w:color w:val="4472C4" w:themeColor="accent1"/>
          <w:sz w:val="24"/>
          <w:szCs w:val="24"/>
        </w:rPr>
        <w:t>) the regularity of the stay in the territory of the State concerned; (</w:t>
      </w:r>
      <w:r w:rsidR="008A27D6">
        <w:rPr>
          <w:rFonts w:ascii="Times New Roman" w:hAnsi="Times New Roman" w:cs="Times New Roman"/>
          <w:color w:val="4472C4" w:themeColor="accent1"/>
          <w:sz w:val="24"/>
          <w:szCs w:val="24"/>
        </w:rPr>
        <w:t>iii</w:t>
      </w:r>
      <w:r w:rsidRPr="008A5E0F">
        <w:rPr>
          <w:rFonts w:ascii="Times New Roman" w:hAnsi="Times New Roman" w:cs="Times New Roman"/>
          <w:color w:val="4472C4" w:themeColor="accent1"/>
          <w:sz w:val="24"/>
          <w:szCs w:val="24"/>
        </w:rPr>
        <w:t>) the conditions of the stay in the territory of the State concerned; (</w:t>
      </w:r>
      <w:r w:rsidR="008A27D6">
        <w:rPr>
          <w:rFonts w:ascii="Times New Roman" w:hAnsi="Times New Roman" w:cs="Times New Roman"/>
          <w:color w:val="4472C4" w:themeColor="accent1"/>
          <w:sz w:val="24"/>
          <w:szCs w:val="24"/>
        </w:rPr>
        <w:t>iv</w:t>
      </w:r>
      <w:r w:rsidRPr="008A5E0F">
        <w:rPr>
          <w:rFonts w:ascii="Times New Roman" w:hAnsi="Times New Roman" w:cs="Times New Roman"/>
          <w:color w:val="4472C4" w:themeColor="accent1"/>
          <w:sz w:val="24"/>
          <w:szCs w:val="24"/>
        </w:rPr>
        <w:t>) the reasons for the stay in the territory of the State concerned; (</w:t>
      </w:r>
      <w:r w:rsidR="008A27D6">
        <w:rPr>
          <w:rFonts w:ascii="Times New Roman" w:hAnsi="Times New Roman" w:cs="Times New Roman"/>
          <w:color w:val="4472C4" w:themeColor="accent1"/>
          <w:sz w:val="24"/>
          <w:szCs w:val="24"/>
        </w:rPr>
        <w:t>v</w:t>
      </w:r>
      <w:r w:rsidRPr="008A5E0F">
        <w:rPr>
          <w:rFonts w:ascii="Times New Roman" w:hAnsi="Times New Roman" w:cs="Times New Roman"/>
          <w:color w:val="4472C4" w:themeColor="accent1"/>
          <w:sz w:val="24"/>
          <w:szCs w:val="24"/>
        </w:rPr>
        <w:t>) the citizenship; (</w:t>
      </w:r>
      <w:r w:rsidR="008A27D6">
        <w:rPr>
          <w:rFonts w:ascii="Times New Roman" w:hAnsi="Times New Roman" w:cs="Times New Roman"/>
          <w:color w:val="4472C4" w:themeColor="accent1"/>
          <w:sz w:val="24"/>
          <w:szCs w:val="24"/>
        </w:rPr>
        <w:t>vi</w:t>
      </w:r>
      <w:r w:rsidRPr="008A5E0F">
        <w:rPr>
          <w:rFonts w:ascii="Times New Roman" w:hAnsi="Times New Roman" w:cs="Times New Roman"/>
          <w:color w:val="4472C4" w:themeColor="accent1"/>
          <w:sz w:val="24"/>
          <w:szCs w:val="24"/>
        </w:rPr>
        <w:t>) place of employment and conditions of work; (</w:t>
      </w:r>
      <w:r w:rsidR="008A27D6">
        <w:rPr>
          <w:rFonts w:ascii="Times New Roman" w:hAnsi="Times New Roman" w:cs="Times New Roman"/>
          <w:color w:val="4472C4" w:themeColor="accent1"/>
          <w:sz w:val="24"/>
          <w:szCs w:val="24"/>
        </w:rPr>
        <w:t>vii</w:t>
      </w:r>
      <w:r w:rsidRPr="008A5E0F">
        <w:rPr>
          <w:rFonts w:ascii="Times New Roman" w:hAnsi="Times New Roman" w:cs="Times New Roman"/>
          <w:color w:val="4472C4" w:themeColor="accent1"/>
          <w:sz w:val="24"/>
          <w:szCs w:val="24"/>
        </w:rPr>
        <w:t>) the knowledge of the language; (</w:t>
      </w:r>
      <w:r w:rsidR="008A27D6">
        <w:rPr>
          <w:rFonts w:ascii="Times New Roman" w:hAnsi="Times New Roman" w:cs="Times New Roman"/>
          <w:color w:val="4472C4" w:themeColor="accent1"/>
          <w:sz w:val="24"/>
          <w:szCs w:val="24"/>
        </w:rPr>
        <w:t>viii</w:t>
      </w:r>
      <w:r w:rsidRPr="008A5E0F">
        <w:rPr>
          <w:rFonts w:ascii="Times New Roman" w:hAnsi="Times New Roman" w:cs="Times New Roman"/>
          <w:color w:val="4472C4" w:themeColor="accent1"/>
          <w:sz w:val="24"/>
          <w:szCs w:val="24"/>
        </w:rPr>
        <w:t>) the family and social ties; and (</w:t>
      </w:r>
      <w:r w:rsidR="008A27D6">
        <w:rPr>
          <w:rFonts w:ascii="Times New Roman" w:hAnsi="Times New Roman" w:cs="Times New Roman"/>
          <w:color w:val="4472C4" w:themeColor="accent1"/>
          <w:sz w:val="24"/>
          <w:szCs w:val="24"/>
        </w:rPr>
        <w:t>ix</w:t>
      </w:r>
      <w:r w:rsidRPr="008A5E0F">
        <w:rPr>
          <w:rFonts w:ascii="Times New Roman" w:hAnsi="Times New Roman" w:cs="Times New Roman"/>
          <w:color w:val="4472C4" w:themeColor="accent1"/>
          <w:sz w:val="24"/>
          <w:szCs w:val="24"/>
        </w:rPr>
        <w:t xml:space="preserve">) the other </w:t>
      </w:r>
      <w:r w:rsidR="008A27D6">
        <w:rPr>
          <w:rFonts w:ascii="Times New Roman" w:hAnsi="Times New Roman" w:cs="Times New Roman"/>
          <w:color w:val="4472C4" w:themeColor="accent1"/>
          <w:sz w:val="24"/>
          <w:szCs w:val="24"/>
        </w:rPr>
        <w:t xml:space="preserve">relevant </w:t>
      </w:r>
      <w:r w:rsidRPr="008A5E0F">
        <w:rPr>
          <w:rFonts w:ascii="Times New Roman" w:hAnsi="Times New Roman" w:cs="Times New Roman"/>
          <w:color w:val="4472C4" w:themeColor="accent1"/>
          <w:sz w:val="24"/>
          <w:szCs w:val="24"/>
        </w:rPr>
        <w:t>circumstances.</w:t>
      </w:r>
      <w:r w:rsidRPr="008A5E0F">
        <w:rPr>
          <w:rStyle w:val="FootnoteReference"/>
          <w:rFonts w:ascii="Times New Roman" w:hAnsi="Times New Roman" w:cs="Times New Roman"/>
          <w:color w:val="4472C4" w:themeColor="accent1"/>
          <w:sz w:val="24"/>
          <w:szCs w:val="24"/>
        </w:rPr>
        <w:footnoteReference w:id="34"/>
      </w:r>
    </w:p>
    <w:p w14:paraId="5D436CB9" w14:textId="6E7AA7CE" w:rsidR="00C2097E" w:rsidRPr="008A5E0F" w:rsidRDefault="008A5E0F" w:rsidP="00321141">
      <w:pPr>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C</w:t>
      </w:r>
      <w:r w:rsidR="002C7AF3" w:rsidRPr="008A5E0F">
        <w:rPr>
          <w:rFonts w:ascii="Times New Roman" w:hAnsi="Times New Roman" w:cs="Times New Roman"/>
          <w:color w:val="4472C4" w:themeColor="accent1"/>
          <w:sz w:val="24"/>
          <w:szCs w:val="24"/>
        </w:rPr>
        <w:t xml:space="preserve">urrent </w:t>
      </w:r>
      <w:r>
        <w:rPr>
          <w:rFonts w:ascii="Times New Roman" w:hAnsi="Times New Roman" w:cs="Times New Roman"/>
          <w:color w:val="4472C4" w:themeColor="accent1"/>
          <w:sz w:val="24"/>
          <w:szCs w:val="24"/>
        </w:rPr>
        <w:t xml:space="preserve">national </w:t>
      </w:r>
      <w:r w:rsidR="002C7AF3" w:rsidRPr="008A5E0F">
        <w:rPr>
          <w:rFonts w:ascii="Times New Roman" w:hAnsi="Times New Roman" w:cs="Times New Roman"/>
          <w:color w:val="4472C4" w:themeColor="accent1"/>
          <w:sz w:val="24"/>
          <w:szCs w:val="24"/>
        </w:rPr>
        <w:t>court</w:t>
      </w:r>
      <w:r>
        <w:rPr>
          <w:rFonts w:ascii="Times New Roman" w:hAnsi="Times New Roman" w:cs="Times New Roman"/>
          <w:color w:val="4472C4" w:themeColor="accent1"/>
          <w:sz w:val="24"/>
          <w:szCs w:val="24"/>
        </w:rPr>
        <w:t>s’</w:t>
      </w:r>
      <w:r w:rsidR="002C7AF3" w:rsidRPr="008A5E0F">
        <w:rPr>
          <w:rFonts w:ascii="Times New Roman" w:hAnsi="Times New Roman" w:cs="Times New Roman"/>
          <w:color w:val="4472C4" w:themeColor="accent1"/>
          <w:sz w:val="24"/>
          <w:szCs w:val="24"/>
        </w:rPr>
        <w:t xml:space="preserve"> practice </w:t>
      </w:r>
      <w:r w:rsidRPr="008A5E0F">
        <w:rPr>
          <w:rFonts w:ascii="Times New Roman" w:hAnsi="Times New Roman" w:cs="Times New Roman"/>
          <w:color w:val="4472C4" w:themeColor="accent1"/>
          <w:sz w:val="24"/>
          <w:szCs w:val="24"/>
        </w:rPr>
        <w:t>for establishing</w:t>
      </w:r>
      <w:r w:rsidR="002C7AF3" w:rsidRPr="008A5E0F">
        <w:rPr>
          <w:rFonts w:ascii="Times New Roman" w:hAnsi="Times New Roman" w:cs="Times New Roman"/>
          <w:color w:val="4472C4" w:themeColor="accent1"/>
          <w:sz w:val="24"/>
          <w:szCs w:val="24"/>
        </w:rPr>
        <w:t xml:space="preserve"> </w:t>
      </w:r>
      <w:r>
        <w:rPr>
          <w:rFonts w:ascii="Times New Roman" w:hAnsi="Times New Roman" w:cs="Times New Roman"/>
          <w:color w:val="4472C4" w:themeColor="accent1"/>
          <w:sz w:val="24"/>
          <w:szCs w:val="24"/>
        </w:rPr>
        <w:t xml:space="preserve">a </w:t>
      </w:r>
      <w:r w:rsidR="002C7AF3" w:rsidRPr="008A5E0F">
        <w:rPr>
          <w:rFonts w:ascii="Times New Roman" w:hAnsi="Times New Roman" w:cs="Times New Roman"/>
          <w:color w:val="4472C4" w:themeColor="accent1"/>
          <w:sz w:val="24"/>
          <w:szCs w:val="24"/>
        </w:rPr>
        <w:t>child</w:t>
      </w:r>
      <w:r w:rsidR="00744410">
        <w:rPr>
          <w:rFonts w:ascii="Times New Roman" w:hAnsi="Times New Roman" w:cs="Times New Roman"/>
          <w:color w:val="4472C4" w:themeColor="accent1"/>
          <w:sz w:val="24"/>
          <w:szCs w:val="24"/>
        </w:rPr>
        <w:t>’</w:t>
      </w:r>
      <w:r w:rsidR="002C7AF3" w:rsidRPr="008A5E0F">
        <w:rPr>
          <w:rFonts w:ascii="Times New Roman" w:hAnsi="Times New Roman" w:cs="Times New Roman"/>
          <w:color w:val="4472C4" w:themeColor="accent1"/>
          <w:sz w:val="24"/>
          <w:szCs w:val="24"/>
        </w:rPr>
        <w:t xml:space="preserve">s habitual residence seems to follow the usual patterns in other EU </w:t>
      </w:r>
      <w:r w:rsidR="00CB475B">
        <w:rPr>
          <w:rFonts w:ascii="Times New Roman" w:hAnsi="Times New Roman" w:cs="Times New Roman"/>
          <w:color w:val="4472C4" w:themeColor="accent1"/>
          <w:sz w:val="24"/>
          <w:szCs w:val="24"/>
        </w:rPr>
        <w:t>countries</w:t>
      </w:r>
      <w:r w:rsidR="002C7AF3" w:rsidRPr="008A5E0F">
        <w:rPr>
          <w:rFonts w:ascii="Times New Roman" w:hAnsi="Times New Roman" w:cs="Times New Roman"/>
          <w:color w:val="4472C4" w:themeColor="accent1"/>
          <w:sz w:val="24"/>
          <w:szCs w:val="24"/>
        </w:rPr>
        <w:t xml:space="preserve"> which is based on an extensive CJEU case law. This was not, however, always the case. </w:t>
      </w:r>
      <w:r w:rsidR="00C2097E" w:rsidRPr="008A5E0F">
        <w:rPr>
          <w:rFonts w:ascii="Times New Roman" w:hAnsi="Times New Roman" w:cs="Times New Roman"/>
          <w:color w:val="4472C4" w:themeColor="accent1"/>
          <w:sz w:val="24"/>
          <w:szCs w:val="24"/>
        </w:rPr>
        <w:t xml:space="preserve">When analysing the Lithuanian court practice of 2004-2015, it was observed that in cases where a Lithuanian family had been settled in a foreign country for several years, for example, in the UK, when they applied to the court in Lithuania for divorce and parental responsibilities, the courts used to decide that the child's habitual residence had remained in Lithuania. This was so even where the child attended an educational institution, the parents were employed, </w:t>
      </w:r>
      <w:r w:rsidR="008A27D6">
        <w:rPr>
          <w:rFonts w:ascii="Times New Roman" w:hAnsi="Times New Roman" w:cs="Times New Roman"/>
          <w:color w:val="4472C4" w:themeColor="accent1"/>
          <w:sz w:val="24"/>
          <w:szCs w:val="24"/>
        </w:rPr>
        <w:t xml:space="preserve">and </w:t>
      </w:r>
      <w:r w:rsidR="00C2097E" w:rsidRPr="008A5E0F">
        <w:rPr>
          <w:rFonts w:ascii="Times New Roman" w:hAnsi="Times New Roman" w:cs="Times New Roman"/>
          <w:color w:val="4472C4" w:themeColor="accent1"/>
          <w:sz w:val="24"/>
          <w:szCs w:val="24"/>
        </w:rPr>
        <w:t xml:space="preserve">the family had a home </w:t>
      </w:r>
      <w:r>
        <w:rPr>
          <w:rFonts w:ascii="Times New Roman" w:hAnsi="Times New Roman" w:cs="Times New Roman"/>
          <w:color w:val="4472C4" w:themeColor="accent1"/>
          <w:sz w:val="24"/>
          <w:szCs w:val="24"/>
        </w:rPr>
        <w:t>abroad</w:t>
      </w:r>
      <w:r w:rsidR="00C2097E" w:rsidRPr="008A5E0F">
        <w:rPr>
          <w:rFonts w:ascii="Times New Roman" w:hAnsi="Times New Roman" w:cs="Times New Roman"/>
          <w:color w:val="4472C4" w:themeColor="accent1"/>
          <w:sz w:val="24"/>
          <w:szCs w:val="24"/>
        </w:rPr>
        <w:t xml:space="preserve">. </w:t>
      </w:r>
      <w:r w:rsidR="002C7AF3" w:rsidRPr="008A5E0F">
        <w:rPr>
          <w:rFonts w:ascii="Times New Roman" w:hAnsi="Times New Roman" w:cs="Times New Roman"/>
          <w:color w:val="4472C4" w:themeColor="accent1"/>
          <w:sz w:val="24"/>
          <w:szCs w:val="24"/>
        </w:rPr>
        <w:t xml:space="preserve">The parents used to claim that </w:t>
      </w:r>
      <w:r w:rsidR="00C2097E" w:rsidRPr="008A5E0F">
        <w:rPr>
          <w:rFonts w:ascii="Times New Roman" w:hAnsi="Times New Roman" w:cs="Times New Roman"/>
          <w:color w:val="4472C4" w:themeColor="accent1"/>
          <w:sz w:val="24"/>
          <w:szCs w:val="24"/>
        </w:rPr>
        <w:t xml:space="preserve">according to them, they were </w:t>
      </w:r>
      <w:r w:rsidR="008A27D6">
        <w:rPr>
          <w:rFonts w:ascii="Times New Roman" w:hAnsi="Times New Roman" w:cs="Times New Roman"/>
          <w:color w:val="4472C4" w:themeColor="accent1"/>
          <w:sz w:val="24"/>
          <w:szCs w:val="24"/>
        </w:rPr>
        <w:t xml:space="preserve">residing </w:t>
      </w:r>
      <w:r w:rsidR="002C7AF3" w:rsidRPr="008A5E0F">
        <w:rPr>
          <w:rFonts w:ascii="Times New Roman" w:hAnsi="Times New Roman" w:cs="Times New Roman"/>
          <w:color w:val="4472C4" w:themeColor="accent1"/>
          <w:sz w:val="24"/>
          <w:szCs w:val="24"/>
        </w:rPr>
        <w:t xml:space="preserve">in </w:t>
      </w:r>
      <w:r w:rsidR="008A27D6">
        <w:rPr>
          <w:rFonts w:ascii="Times New Roman" w:hAnsi="Times New Roman" w:cs="Times New Roman"/>
          <w:color w:val="4472C4" w:themeColor="accent1"/>
          <w:sz w:val="24"/>
          <w:szCs w:val="24"/>
        </w:rPr>
        <w:t xml:space="preserve">a foreign State (most often – </w:t>
      </w:r>
      <w:r w:rsidR="002C7AF3" w:rsidRPr="008A5E0F">
        <w:rPr>
          <w:rFonts w:ascii="Times New Roman" w:hAnsi="Times New Roman" w:cs="Times New Roman"/>
          <w:color w:val="4472C4" w:themeColor="accent1"/>
          <w:sz w:val="24"/>
          <w:szCs w:val="24"/>
        </w:rPr>
        <w:t>the UK</w:t>
      </w:r>
      <w:r w:rsidR="008A27D6">
        <w:rPr>
          <w:rFonts w:ascii="Times New Roman" w:hAnsi="Times New Roman" w:cs="Times New Roman"/>
          <w:color w:val="4472C4" w:themeColor="accent1"/>
          <w:sz w:val="24"/>
          <w:szCs w:val="24"/>
        </w:rPr>
        <w:t>)</w:t>
      </w:r>
      <w:r w:rsidR="002C7AF3" w:rsidRPr="008A5E0F">
        <w:rPr>
          <w:rFonts w:ascii="Times New Roman" w:hAnsi="Times New Roman" w:cs="Times New Roman"/>
          <w:color w:val="4472C4" w:themeColor="accent1"/>
          <w:sz w:val="24"/>
          <w:szCs w:val="24"/>
        </w:rPr>
        <w:t xml:space="preserve"> </w:t>
      </w:r>
      <w:r w:rsidR="00C2097E" w:rsidRPr="008A5E0F">
        <w:rPr>
          <w:rFonts w:ascii="Times New Roman" w:hAnsi="Times New Roman" w:cs="Times New Roman"/>
          <w:color w:val="4472C4" w:themeColor="accent1"/>
          <w:sz w:val="24"/>
          <w:szCs w:val="24"/>
        </w:rPr>
        <w:t xml:space="preserve">only temporarily until they </w:t>
      </w:r>
      <w:r>
        <w:rPr>
          <w:rFonts w:ascii="Times New Roman" w:hAnsi="Times New Roman" w:cs="Times New Roman"/>
          <w:color w:val="4472C4" w:themeColor="accent1"/>
          <w:sz w:val="24"/>
          <w:szCs w:val="24"/>
        </w:rPr>
        <w:t>earned</w:t>
      </w:r>
      <w:r w:rsidR="00C2097E" w:rsidRPr="008A5E0F">
        <w:rPr>
          <w:rFonts w:ascii="Times New Roman" w:hAnsi="Times New Roman" w:cs="Times New Roman"/>
          <w:color w:val="4472C4" w:themeColor="accent1"/>
          <w:sz w:val="24"/>
          <w:szCs w:val="24"/>
        </w:rPr>
        <w:t xml:space="preserve"> enough money (often the temporary nature of the situation last</w:t>
      </w:r>
      <w:r>
        <w:rPr>
          <w:rFonts w:ascii="Times New Roman" w:hAnsi="Times New Roman" w:cs="Times New Roman"/>
          <w:color w:val="4472C4" w:themeColor="accent1"/>
          <w:sz w:val="24"/>
          <w:szCs w:val="24"/>
        </w:rPr>
        <w:t>ed</w:t>
      </w:r>
      <w:r w:rsidR="00C2097E" w:rsidRPr="008A5E0F">
        <w:rPr>
          <w:rFonts w:ascii="Times New Roman" w:hAnsi="Times New Roman" w:cs="Times New Roman"/>
          <w:color w:val="4472C4" w:themeColor="accent1"/>
          <w:sz w:val="24"/>
          <w:szCs w:val="24"/>
        </w:rPr>
        <w:t xml:space="preserve"> for 5 years and more, with no concrete plans and no date for return to Lithuania)</w:t>
      </w:r>
      <w:r w:rsidR="002C7AF3" w:rsidRPr="008A5E0F">
        <w:rPr>
          <w:rFonts w:ascii="Times New Roman" w:hAnsi="Times New Roman" w:cs="Times New Roman"/>
          <w:color w:val="4472C4" w:themeColor="accent1"/>
          <w:sz w:val="24"/>
          <w:szCs w:val="24"/>
        </w:rPr>
        <w:t>. T</w:t>
      </w:r>
      <w:r w:rsidR="00C2097E" w:rsidRPr="008A5E0F">
        <w:rPr>
          <w:rFonts w:ascii="Times New Roman" w:hAnsi="Times New Roman" w:cs="Times New Roman"/>
          <w:color w:val="4472C4" w:themeColor="accent1"/>
          <w:sz w:val="24"/>
          <w:szCs w:val="24"/>
        </w:rPr>
        <w:t xml:space="preserve">he courts </w:t>
      </w:r>
      <w:r w:rsidR="002C7AF3" w:rsidRPr="008A5E0F">
        <w:rPr>
          <w:rFonts w:ascii="Times New Roman" w:hAnsi="Times New Roman" w:cs="Times New Roman"/>
          <w:color w:val="4472C4" w:themeColor="accent1"/>
          <w:sz w:val="24"/>
          <w:szCs w:val="24"/>
        </w:rPr>
        <w:t>considered</w:t>
      </w:r>
      <w:r w:rsidR="00C2097E" w:rsidRPr="008A5E0F">
        <w:rPr>
          <w:rFonts w:ascii="Times New Roman" w:hAnsi="Times New Roman" w:cs="Times New Roman"/>
          <w:color w:val="4472C4" w:themeColor="accent1"/>
          <w:sz w:val="24"/>
          <w:szCs w:val="24"/>
        </w:rPr>
        <w:t xml:space="preserve"> that the child's habitual residence has remained in Lithuania because</w:t>
      </w:r>
      <w:r w:rsidR="002C7AF3" w:rsidRPr="008A5E0F">
        <w:rPr>
          <w:rFonts w:ascii="Times New Roman" w:hAnsi="Times New Roman" w:cs="Times New Roman"/>
          <w:color w:val="4472C4" w:themeColor="accent1"/>
          <w:sz w:val="24"/>
          <w:szCs w:val="24"/>
        </w:rPr>
        <w:t>, for instance,</w:t>
      </w:r>
      <w:r w:rsidR="00C2097E" w:rsidRPr="008A5E0F">
        <w:rPr>
          <w:rFonts w:ascii="Times New Roman" w:hAnsi="Times New Roman" w:cs="Times New Roman"/>
          <w:color w:val="4472C4" w:themeColor="accent1"/>
          <w:sz w:val="24"/>
          <w:szCs w:val="24"/>
        </w:rPr>
        <w:t xml:space="preserve"> the family</w:t>
      </w:r>
      <w:r>
        <w:rPr>
          <w:rFonts w:ascii="Times New Roman" w:hAnsi="Times New Roman" w:cs="Times New Roman"/>
          <w:color w:val="4472C4" w:themeColor="accent1"/>
          <w:sz w:val="24"/>
          <w:szCs w:val="24"/>
        </w:rPr>
        <w:t xml:space="preserve"> </w:t>
      </w:r>
      <w:r w:rsidR="00C2097E" w:rsidRPr="008A5E0F">
        <w:rPr>
          <w:rFonts w:ascii="Times New Roman" w:hAnsi="Times New Roman" w:cs="Times New Roman"/>
          <w:color w:val="4472C4" w:themeColor="accent1"/>
          <w:sz w:val="24"/>
          <w:szCs w:val="24"/>
        </w:rPr>
        <w:t>own</w:t>
      </w:r>
      <w:r w:rsidR="002C7AF3" w:rsidRPr="008A5E0F">
        <w:rPr>
          <w:rFonts w:ascii="Times New Roman" w:hAnsi="Times New Roman" w:cs="Times New Roman"/>
          <w:color w:val="4472C4" w:themeColor="accent1"/>
          <w:sz w:val="24"/>
          <w:szCs w:val="24"/>
        </w:rPr>
        <w:t>ed</w:t>
      </w:r>
      <w:r w:rsidR="00C2097E" w:rsidRPr="008A5E0F">
        <w:rPr>
          <w:rFonts w:ascii="Times New Roman" w:hAnsi="Times New Roman" w:cs="Times New Roman"/>
          <w:color w:val="4472C4" w:themeColor="accent1"/>
          <w:sz w:val="24"/>
          <w:szCs w:val="24"/>
        </w:rPr>
        <w:t xml:space="preserve"> real estate there, the child return</w:t>
      </w:r>
      <w:r w:rsidR="002C7AF3" w:rsidRPr="008A5E0F">
        <w:rPr>
          <w:rFonts w:ascii="Times New Roman" w:hAnsi="Times New Roman" w:cs="Times New Roman"/>
          <w:color w:val="4472C4" w:themeColor="accent1"/>
          <w:sz w:val="24"/>
          <w:szCs w:val="24"/>
        </w:rPr>
        <w:t>ed</w:t>
      </w:r>
      <w:r w:rsidR="00C2097E" w:rsidRPr="008A5E0F">
        <w:rPr>
          <w:rFonts w:ascii="Times New Roman" w:hAnsi="Times New Roman" w:cs="Times New Roman"/>
          <w:color w:val="4472C4" w:themeColor="accent1"/>
          <w:sz w:val="24"/>
          <w:szCs w:val="24"/>
        </w:rPr>
        <w:t xml:space="preserve"> for holidays, the child sp</w:t>
      </w:r>
      <w:r w:rsidR="002C7AF3" w:rsidRPr="008A5E0F">
        <w:rPr>
          <w:rFonts w:ascii="Times New Roman" w:hAnsi="Times New Roman" w:cs="Times New Roman"/>
          <w:color w:val="4472C4" w:themeColor="accent1"/>
          <w:sz w:val="24"/>
          <w:szCs w:val="24"/>
        </w:rPr>
        <w:t>oke</w:t>
      </w:r>
      <w:r w:rsidR="00C2097E" w:rsidRPr="008A5E0F">
        <w:rPr>
          <w:rFonts w:ascii="Times New Roman" w:hAnsi="Times New Roman" w:cs="Times New Roman"/>
          <w:color w:val="4472C4" w:themeColor="accent1"/>
          <w:sz w:val="24"/>
          <w:szCs w:val="24"/>
        </w:rPr>
        <w:t xml:space="preserve"> Lithuanian and </w:t>
      </w:r>
      <w:r w:rsidR="002C7AF3" w:rsidRPr="008A5E0F">
        <w:rPr>
          <w:rFonts w:ascii="Times New Roman" w:hAnsi="Times New Roman" w:cs="Times New Roman"/>
          <w:color w:val="4472C4" w:themeColor="accent1"/>
          <w:sz w:val="24"/>
          <w:szCs w:val="24"/>
        </w:rPr>
        <w:t>wa</w:t>
      </w:r>
      <w:r w:rsidR="00C2097E" w:rsidRPr="008A5E0F">
        <w:rPr>
          <w:rFonts w:ascii="Times New Roman" w:hAnsi="Times New Roman" w:cs="Times New Roman"/>
          <w:color w:val="4472C4" w:themeColor="accent1"/>
          <w:sz w:val="24"/>
          <w:szCs w:val="24"/>
        </w:rPr>
        <w:t>s brought up in accordance with Lithuanian traditions</w:t>
      </w:r>
      <w:r w:rsidR="002C7AF3" w:rsidRPr="008A5E0F">
        <w:rPr>
          <w:rFonts w:ascii="Times New Roman" w:hAnsi="Times New Roman" w:cs="Times New Roman"/>
          <w:color w:val="4472C4" w:themeColor="accent1"/>
          <w:sz w:val="24"/>
          <w:szCs w:val="24"/>
        </w:rPr>
        <w:t>. E</w:t>
      </w:r>
      <w:r w:rsidR="00C2097E" w:rsidRPr="008A5E0F">
        <w:rPr>
          <w:rFonts w:ascii="Times New Roman" w:hAnsi="Times New Roman" w:cs="Times New Roman"/>
          <w:color w:val="4472C4" w:themeColor="accent1"/>
          <w:sz w:val="24"/>
          <w:szCs w:val="24"/>
        </w:rPr>
        <w:t xml:space="preserve">ven </w:t>
      </w:r>
      <w:r w:rsidR="002C7AF3" w:rsidRPr="008A5E0F">
        <w:rPr>
          <w:rFonts w:ascii="Times New Roman" w:hAnsi="Times New Roman" w:cs="Times New Roman"/>
          <w:color w:val="4472C4" w:themeColor="accent1"/>
          <w:sz w:val="24"/>
          <w:szCs w:val="24"/>
        </w:rPr>
        <w:t xml:space="preserve">the Supreme Court has raised doubts </w:t>
      </w:r>
      <w:r>
        <w:rPr>
          <w:rFonts w:ascii="Times New Roman" w:hAnsi="Times New Roman" w:cs="Times New Roman"/>
          <w:color w:val="4472C4" w:themeColor="accent1"/>
          <w:sz w:val="24"/>
          <w:szCs w:val="24"/>
        </w:rPr>
        <w:t xml:space="preserve">about </w:t>
      </w:r>
      <w:r w:rsidR="002C7AF3" w:rsidRPr="008A5E0F">
        <w:rPr>
          <w:rFonts w:ascii="Times New Roman" w:hAnsi="Times New Roman" w:cs="Times New Roman"/>
          <w:color w:val="4472C4" w:themeColor="accent1"/>
          <w:sz w:val="24"/>
          <w:szCs w:val="24"/>
        </w:rPr>
        <w:t xml:space="preserve">whether </w:t>
      </w:r>
      <w:r w:rsidR="00C2097E" w:rsidRPr="008A5E0F">
        <w:rPr>
          <w:rFonts w:ascii="Times New Roman" w:hAnsi="Times New Roman" w:cs="Times New Roman"/>
          <w:color w:val="4472C4" w:themeColor="accent1"/>
          <w:sz w:val="24"/>
          <w:szCs w:val="24"/>
        </w:rPr>
        <w:t xml:space="preserve">such conclusions </w:t>
      </w:r>
      <w:r w:rsidR="002C7AF3" w:rsidRPr="008A5E0F">
        <w:rPr>
          <w:rFonts w:ascii="Times New Roman" w:hAnsi="Times New Roman" w:cs="Times New Roman"/>
          <w:color w:val="4472C4" w:themeColor="accent1"/>
          <w:sz w:val="24"/>
          <w:szCs w:val="24"/>
        </w:rPr>
        <w:t>we</w:t>
      </w:r>
      <w:r w:rsidR="00C2097E" w:rsidRPr="008A5E0F">
        <w:rPr>
          <w:rFonts w:ascii="Times New Roman" w:hAnsi="Times New Roman" w:cs="Times New Roman"/>
          <w:color w:val="4472C4" w:themeColor="accent1"/>
          <w:sz w:val="24"/>
          <w:szCs w:val="24"/>
        </w:rPr>
        <w:t>re in line with the objectives and the nature of private international law in the field of family relations.</w:t>
      </w:r>
      <w:r w:rsidR="002C7AF3" w:rsidRPr="008A5E0F">
        <w:rPr>
          <w:rStyle w:val="FootnoteReference"/>
          <w:rFonts w:ascii="Times New Roman" w:hAnsi="Times New Roman" w:cs="Times New Roman"/>
          <w:color w:val="4472C4" w:themeColor="accent1"/>
          <w:sz w:val="24"/>
          <w:szCs w:val="24"/>
        </w:rPr>
        <w:footnoteReference w:id="35"/>
      </w:r>
      <w:r>
        <w:rPr>
          <w:rFonts w:ascii="Times New Roman" w:hAnsi="Times New Roman" w:cs="Times New Roman"/>
          <w:color w:val="4472C4" w:themeColor="accent1"/>
          <w:sz w:val="24"/>
          <w:szCs w:val="24"/>
        </w:rPr>
        <w:t xml:space="preserve"> Currently, such practice</w:t>
      </w:r>
      <w:r w:rsidR="00744410">
        <w:rPr>
          <w:rFonts w:ascii="Times New Roman" w:hAnsi="Times New Roman" w:cs="Times New Roman"/>
          <w:color w:val="4472C4" w:themeColor="accent1"/>
          <w:sz w:val="24"/>
          <w:szCs w:val="24"/>
        </w:rPr>
        <w:t xml:space="preserve"> is changed.</w:t>
      </w:r>
    </w:p>
    <w:p w14:paraId="44383721" w14:textId="671A2AF7" w:rsidR="00BB40A2" w:rsidRDefault="00744410" w:rsidP="00321141">
      <w:pPr>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 xml:space="preserve">Most of the child abduction cases where </w:t>
      </w:r>
      <w:r w:rsidRPr="00744410">
        <w:rPr>
          <w:rFonts w:ascii="Times New Roman" w:hAnsi="Times New Roman" w:cs="Times New Roman"/>
          <w:color w:val="4472C4" w:themeColor="accent1"/>
          <w:sz w:val="24"/>
          <w:szCs w:val="24"/>
        </w:rPr>
        <w:t xml:space="preserve">the concept of “habitual residence” </w:t>
      </w:r>
      <w:r>
        <w:rPr>
          <w:rFonts w:ascii="Times New Roman" w:hAnsi="Times New Roman" w:cs="Times New Roman"/>
          <w:color w:val="4472C4" w:themeColor="accent1"/>
          <w:sz w:val="24"/>
          <w:szCs w:val="24"/>
        </w:rPr>
        <w:t>was analysed</w:t>
      </w:r>
      <w:r w:rsidR="00BB40A2">
        <w:rPr>
          <w:rFonts w:ascii="Times New Roman" w:hAnsi="Times New Roman" w:cs="Times New Roman"/>
          <w:color w:val="4472C4" w:themeColor="accent1"/>
          <w:sz w:val="24"/>
          <w:szCs w:val="24"/>
        </w:rPr>
        <w:t>,</w:t>
      </w:r>
      <w:r>
        <w:rPr>
          <w:rFonts w:ascii="Times New Roman" w:hAnsi="Times New Roman" w:cs="Times New Roman"/>
          <w:color w:val="4472C4" w:themeColor="accent1"/>
          <w:sz w:val="24"/>
          <w:szCs w:val="24"/>
        </w:rPr>
        <w:t xml:space="preserve"> </w:t>
      </w:r>
      <w:r w:rsidR="00407CA9">
        <w:rPr>
          <w:rFonts w:ascii="Times New Roman" w:hAnsi="Times New Roman" w:cs="Times New Roman"/>
          <w:color w:val="4472C4" w:themeColor="accent1"/>
          <w:sz w:val="24"/>
          <w:szCs w:val="24"/>
        </w:rPr>
        <w:t xml:space="preserve">were </w:t>
      </w:r>
      <w:r>
        <w:rPr>
          <w:rFonts w:ascii="Times New Roman" w:hAnsi="Times New Roman" w:cs="Times New Roman"/>
          <w:color w:val="4472C4" w:themeColor="accent1"/>
          <w:sz w:val="24"/>
          <w:szCs w:val="24"/>
        </w:rPr>
        <w:t>relate</w:t>
      </w:r>
      <w:r w:rsidR="005817AA">
        <w:rPr>
          <w:rFonts w:ascii="Times New Roman" w:hAnsi="Times New Roman" w:cs="Times New Roman"/>
          <w:color w:val="4472C4" w:themeColor="accent1"/>
          <w:sz w:val="24"/>
          <w:szCs w:val="24"/>
        </w:rPr>
        <w:t>d</w:t>
      </w:r>
      <w:r>
        <w:rPr>
          <w:rFonts w:ascii="Times New Roman" w:hAnsi="Times New Roman" w:cs="Times New Roman"/>
          <w:color w:val="4472C4" w:themeColor="accent1"/>
          <w:sz w:val="24"/>
          <w:szCs w:val="24"/>
        </w:rPr>
        <w:t xml:space="preserve"> to other EU </w:t>
      </w:r>
      <w:r w:rsidR="00CB475B">
        <w:rPr>
          <w:rFonts w:ascii="Times New Roman" w:hAnsi="Times New Roman" w:cs="Times New Roman"/>
          <w:color w:val="4472C4" w:themeColor="accent1"/>
          <w:sz w:val="24"/>
          <w:szCs w:val="24"/>
        </w:rPr>
        <w:t>Member S</w:t>
      </w:r>
      <w:r>
        <w:rPr>
          <w:rFonts w:ascii="Times New Roman" w:hAnsi="Times New Roman" w:cs="Times New Roman"/>
          <w:color w:val="4472C4" w:themeColor="accent1"/>
          <w:sz w:val="24"/>
          <w:szCs w:val="24"/>
        </w:rPr>
        <w:t>tates, the UK</w:t>
      </w:r>
      <w:r w:rsidR="00BB40A2">
        <w:rPr>
          <w:rFonts w:ascii="Times New Roman" w:hAnsi="Times New Roman" w:cs="Times New Roman"/>
          <w:color w:val="4472C4" w:themeColor="accent1"/>
          <w:sz w:val="24"/>
          <w:szCs w:val="24"/>
        </w:rPr>
        <w:t xml:space="preserve"> </w:t>
      </w:r>
      <w:r>
        <w:rPr>
          <w:rFonts w:ascii="Times New Roman" w:hAnsi="Times New Roman" w:cs="Times New Roman"/>
          <w:color w:val="4472C4" w:themeColor="accent1"/>
          <w:sz w:val="24"/>
          <w:szCs w:val="24"/>
        </w:rPr>
        <w:t xml:space="preserve">or other European region </w:t>
      </w:r>
      <w:r w:rsidR="00407CA9">
        <w:rPr>
          <w:rFonts w:ascii="Times New Roman" w:hAnsi="Times New Roman" w:cs="Times New Roman"/>
          <w:color w:val="4472C4" w:themeColor="accent1"/>
          <w:sz w:val="24"/>
          <w:szCs w:val="24"/>
        </w:rPr>
        <w:t>s</w:t>
      </w:r>
      <w:r>
        <w:rPr>
          <w:rFonts w:ascii="Times New Roman" w:hAnsi="Times New Roman" w:cs="Times New Roman"/>
          <w:color w:val="4472C4" w:themeColor="accent1"/>
          <w:sz w:val="24"/>
          <w:szCs w:val="24"/>
        </w:rPr>
        <w:t xml:space="preserve">tates. </w:t>
      </w:r>
      <w:r w:rsidR="00BB40A2">
        <w:rPr>
          <w:rFonts w:ascii="Times New Roman" w:hAnsi="Times New Roman" w:cs="Times New Roman"/>
          <w:color w:val="4472C4" w:themeColor="accent1"/>
          <w:sz w:val="24"/>
          <w:szCs w:val="24"/>
        </w:rPr>
        <w:t xml:space="preserve">Currently, the interpretation of </w:t>
      </w:r>
      <w:r w:rsidR="00BB40A2" w:rsidRPr="00744410">
        <w:rPr>
          <w:rFonts w:ascii="Times New Roman" w:hAnsi="Times New Roman" w:cs="Times New Roman"/>
          <w:color w:val="4472C4" w:themeColor="accent1"/>
          <w:sz w:val="24"/>
          <w:szCs w:val="24"/>
        </w:rPr>
        <w:t xml:space="preserve">the concept of “habitual residence” </w:t>
      </w:r>
      <w:r w:rsidR="00BB40A2">
        <w:rPr>
          <w:rFonts w:ascii="Times New Roman" w:hAnsi="Times New Roman" w:cs="Times New Roman"/>
          <w:color w:val="4472C4" w:themeColor="accent1"/>
          <w:sz w:val="24"/>
          <w:szCs w:val="24"/>
        </w:rPr>
        <w:t xml:space="preserve">in cases related to the UK seems to follow the same line of reasoning as that in </w:t>
      </w:r>
      <w:r w:rsidR="00BB40A2" w:rsidRPr="00744410">
        <w:rPr>
          <w:rFonts w:ascii="Times New Roman" w:hAnsi="Times New Roman" w:cs="Times New Roman"/>
          <w:color w:val="4472C4" w:themeColor="accent1"/>
          <w:sz w:val="24"/>
          <w:szCs w:val="24"/>
        </w:rPr>
        <w:t>intra-EU cases</w:t>
      </w:r>
      <w:r w:rsidR="00BB40A2">
        <w:rPr>
          <w:rFonts w:ascii="Times New Roman" w:hAnsi="Times New Roman" w:cs="Times New Roman"/>
          <w:color w:val="4472C4" w:themeColor="accent1"/>
          <w:sz w:val="24"/>
          <w:szCs w:val="24"/>
        </w:rPr>
        <w:t>. A limited</w:t>
      </w:r>
      <w:r>
        <w:rPr>
          <w:rFonts w:ascii="Times New Roman" w:hAnsi="Times New Roman" w:cs="Times New Roman"/>
          <w:color w:val="4472C4" w:themeColor="accent1"/>
          <w:sz w:val="24"/>
          <w:szCs w:val="24"/>
        </w:rPr>
        <w:t xml:space="preserve"> number of cases </w:t>
      </w:r>
      <w:r w:rsidRPr="00744410">
        <w:rPr>
          <w:rFonts w:ascii="Times New Roman" w:hAnsi="Times New Roman" w:cs="Times New Roman"/>
          <w:color w:val="4472C4" w:themeColor="accent1"/>
          <w:sz w:val="24"/>
          <w:szCs w:val="24"/>
        </w:rPr>
        <w:t xml:space="preserve">involving </w:t>
      </w:r>
      <w:r w:rsidR="00CB475B">
        <w:rPr>
          <w:rFonts w:ascii="Times New Roman" w:hAnsi="Times New Roman" w:cs="Times New Roman"/>
          <w:color w:val="4472C4" w:themeColor="accent1"/>
          <w:sz w:val="24"/>
          <w:szCs w:val="24"/>
        </w:rPr>
        <w:t>countries</w:t>
      </w:r>
      <w:r w:rsidRPr="00744410">
        <w:rPr>
          <w:rFonts w:ascii="Times New Roman" w:hAnsi="Times New Roman" w:cs="Times New Roman"/>
          <w:color w:val="4472C4" w:themeColor="accent1"/>
          <w:sz w:val="24"/>
          <w:szCs w:val="24"/>
        </w:rPr>
        <w:t xml:space="preserve"> that are not contracting parties to the 1980 Convention</w:t>
      </w:r>
      <w:r>
        <w:rPr>
          <w:rFonts w:ascii="Times New Roman" w:hAnsi="Times New Roman" w:cs="Times New Roman"/>
          <w:color w:val="4472C4" w:themeColor="accent1"/>
          <w:sz w:val="24"/>
          <w:szCs w:val="24"/>
        </w:rPr>
        <w:t xml:space="preserve">, makes it </w:t>
      </w:r>
      <w:r w:rsidR="00BB40A2">
        <w:rPr>
          <w:rFonts w:ascii="Times New Roman" w:hAnsi="Times New Roman" w:cs="Times New Roman"/>
          <w:color w:val="4472C4" w:themeColor="accent1"/>
          <w:sz w:val="24"/>
          <w:szCs w:val="24"/>
        </w:rPr>
        <w:t xml:space="preserve">difficult to identify </w:t>
      </w:r>
      <w:r w:rsidR="00BB40A2">
        <w:rPr>
          <w:rFonts w:ascii="Times New Roman" w:hAnsi="Times New Roman" w:cs="Times New Roman"/>
          <w:color w:val="4472C4" w:themeColor="accent1"/>
          <w:sz w:val="24"/>
          <w:szCs w:val="24"/>
        </w:rPr>
        <w:lastRenderedPageBreak/>
        <w:t xml:space="preserve">any </w:t>
      </w:r>
      <w:r w:rsidR="000724AE">
        <w:rPr>
          <w:rFonts w:ascii="Times New Roman" w:hAnsi="Times New Roman" w:cs="Times New Roman"/>
          <w:color w:val="4472C4" w:themeColor="accent1"/>
          <w:sz w:val="24"/>
          <w:szCs w:val="24"/>
        </w:rPr>
        <w:t xml:space="preserve">differences in </w:t>
      </w:r>
      <w:r w:rsidR="00BB40A2">
        <w:rPr>
          <w:rFonts w:ascii="Times New Roman" w:hAnsi="Times New Roman" w:cs="Times New Roman"/>
          <w:color w:val="4472C4" w:themeColor="accent1"/>
          <w:sz w:val="24"/>
          <w:szCs w:val="24"/>
        </w:rPr>
        <w:t xml:space="preserve">interpretation of </w:t>
      </w:r>
      <w:r w:rsidR="00BB40A2" w:rsidRPr="00744410">
        <w:rPr>
          <w:rFonts w:ascii="Times New Roman" w:hAnsi="Times New Roman" w:cs="Times New Roman"/>
          <w:color w:val="4472C4" w:themeColor="accent1"/>
          <w:sz w:val="24"/>
          <w:szCs w:val="24"/>
        </w:rPr>
        <w:t>the concept of “habitual residence”</w:t>
      </w:r>
      <w:r w:rsidR="005817AA">
        <w:rPr>
          <w:rFonts w:ascii="Times New Roman" w:hAnsi="Times New Roman" w:cs="Times New Roman"/>
          <w:color w:val="4472C4" w:themeColor="accent1"/>
          <w:sz w:val="24"/>
          <w:szCs w:val="24"/>
        </w:rPr>
        <w:t xml:space="preserve"> with regard to those </w:t>
      </w:r>
      <w:r w:rsidR="00CB475B">
        <w:rPr>
          <w:rFonts w:ascii="Times New Roman" w:hAnsi="Times New Roman" w:cs="Times New Roman"/>
          <w:color w:val="4472C4" w:themeColor="accent1"/>
          <w:sz w:val="24"/>
          <w:szCs w:val="24"/>
        </w:rPr>
        <w:t>s</w:t>
      </w:r>
      <w:r w:rsidR="005817AA">
        <w:rPr>
          <w:rFonts w:ascii="Times New Roman" w:hAnsi="Times New Roman" w:cs="Times New Roman"/>
          <w:color w:val="4472C4" w:themeColor="accent1"/>
          <w:sz w:val="24"/>
          <w:szCs w:val="24"/>
        </w:rPr>
        <w:t>tates</w:t>
      </w:r>
      <w:r w:rsidR="00BB40A2">
        <w:rPr>
          <w:rFonts w:ascii="Times New Roman" w:hAnsi="Times New Roman" w:cs="Times New Roman"/>
          <w:color w:val="4472C4" w:themeColor="accent1"/>
          <w:sz w:val="24"/>
          <w:szCs w:val="24"/>
        </w:rPr>
        <w:t>.</w:t>
      </w:r>
    </w:p>
    <w:p w14:paraId="41A8D7F4" w14:textId="77777777" w:rsidR="00471DB8" w:rsidRPr="00321141" w:rsidRDefault="00471DB8" w:rsidP="00321141">
      <w:pPr>
        <w:jc w:val="both"/>
        <w:rPr>
          <w:rFonts w:ascii="Times New Roman" w:hAnsi="Times New Roman" w:cs="Times New Roman"/>
          <w:color w:val="4472C4" w:themeColor="accent1"/>
        </w:rPr>
      </w:pPr>
    </w:p>
    <w:p w14:paraId="06E5012D" w14:textId="77777777" w:rsidR="00F408AF" w:rsidRPr="00C544E3" w:rsidRDefault="00F408AF" w:rsidP="008A76E4">
      <w:pPr>
        <w:pStyle w:val="Heading2"/>
        <w:numPr>
          <w:ilvl w:val="0"/>
          <w:numId w:val="6"/>
        </w:numPr>
        <w:jc w:val="both"/>
        <w:rPr>
          <w:rFonts w:ascii="Times New Roman" w:hAnsi="Times New Roman" w:cs="Times New Roman"/>
          <w:b/>
          <w:bCs/>
          <w:sz w:val="24"/>
          <w:szCs w:val="24"/>
        </w:rPr>
      </w:pPr>
      <w:bookmarkStart w:id="5" w:name="_Toc122349475"/>
      <w:r w:rsidRPr="00C544E3">
        <w:rPr>
          <w:rFonts w:ascii="Times New Roman" w:hAnsi="Times New Roman" w:cs="Times New Roman"/>
          <w:b/>
          <w:bCs/>
          <w:sz w:val="24"/>
          <w:szCs w:val="24"/>
        </w:rPr>
        <w:t>Convention of 19 October 1996 on Jurisdiction, Applicable Law, Recognition, Enforcement and Co-operation in Respect of Parental Responsibility and Measures for the Protection of Children</w:t>
      </w:r>
      <w:bookmarkEnd w:id="5"/>
    </w:p>
    <w:p w14:paraId="1CAF957D" w14:textId="77777777" w:rsidR="00C7229C" w:rsidRPr="00C544E3" w:rsidRDefault="00C7229C" w:rsidP="008A76E4">
      <w:pPr>
        <w:jc w:val="both"/>
        <w:rPr>
          <w:rFonts w:ascii="Times New Roman" w:hAnsi="Times New Roman" w:cs="Times New Roman"/>
        </w:rPr>
      </w:pPr>
    </w:p>
    <w:p w14:paraId="573A596E" w14:textId="11587F6C" w:rsidR="00CD5066" w:rsidRPr="00C544E3" w:rsidRDefault="00CD5066" w:rsidP="008A76E4">
      <w:pPr>
        <w:pStyle w:val="Heading2"/>
        <w:jc w:val="both"/>
      </w:pPr>
      <w:bookmarkStart w:id="6" w:name="_Toc122349476"/>
      <w:r w:rsidRPr="00C544E3">
        <w:t>Jurisdiction</w:t>
      </w:r>
      <w:bookmarkEnd w:id="6"/>
    </w:p>
    <w:p w14:paraId="0B1D1D8A" w14:textId="77777777" w:rsidR="000508F4" w:rsidRPr="00C544E3" w:rsidRDefault="000508F4" w:rsidP="008A76E4">
      <w:pPr>
        <w:spacing w:after="0"/>
        <w:jc w:val="both"/>
      </w:pPr>
    </w:p>
    <w:p w14:paraId="4A4F21BB" w14:textId="4B1A0D3B" w:rsidR="00CD5066" w:rsidRDefault="00DE2018" w:rsidP="008A76E4">
      <w:pPr>
        <w:pStyle w:val="ListParagraph"/>
        <w:numPr>
          <w:ilvl w:val="0"/>
          <w:numId w:val="8"/>
        </w:numPr>
        <w:spacing w:after="0" w:line="240" w:lineRule="auto"/>
        <w:jc w:val="both"/>
        <w:rPr>
          <w:rFonts w:ascii="Times New Roman" w:eastAsia="Times New Roman" w:hAnsi="Times New Roman" w:cs="Times New Roman"/>
          <w:color w:val="0E101A"/>
          <w:sz w:val="24"/>
          <w:szCs w:val="24"/>
          <w:lang w:eastAsia="en-GB"/>
        </w:rPr>
      </w:pPr>
      <w:r w:rsidRPr="00C544E3">
        <w:rPr>
          <w:rFonts w:ascii="Times New Roman" w:hAnsi="Times New Roman" w:cs="Times New Roman"/>
        </w:rPr>
        <w:t>D</w:t>
      </w:r>
      <w:r w:rsidR="007A0F36" w:rsidRPr="00C544E3">
        <w:rPr>
          <w:rFonts w:ascii="Times New Roman" w:hAnsi="Times New Roman" w:cs="Times New Roman"/>
        </w:rPr>
        <w:t xml:space="preserve">o the courts of your </w:t>
      </w:r>
      <w:r w:rsidRPr="00C544E3">
        <w:rPr>
          <w:rFonts w:ascii="Times New Roman" w:hAnsi="Times New Roman" w:cs="Times New Roman"/>
        </w:rPr>
        <w:t xml:space="preserve">country examine their jurisdiction </w:t>
      </w:r>
      <w:r w:rsidRPr="00C544E3">
        <w:rPr>
          <w:rFonts w:ascii="Times New Roman" w:hAnsi="Times New Roman" w:cs="Times New Roman"/>
          <w:i/>
          <w:iCs/>
        </w:rPr>
        <w:t>ex officio</w:t>
      </w:r>
      <w:r w:rsidR="000E7F0A" w:rsidRPr="00C544E3">
        <w:rPr>
          <w:rFonts w:ascii="Times New Roman" w:hAnsi="Times New Roman" w:cs="Times New Roman"/>
          <w:i/>
          <w:iCs/>
        </w:rPr>
        <w:t xml:space="preserve"> </w:t>
      </w:r>
      <w:r w:rsidR="00A00B00" w:rsidRPr="00C544E3">
        <w:rPr>
          <w:rFonts w:ascii="Times New Roman" w:hAnsi="Times New Roman" w:cs="Times New Roman"/>
        </w:rPr>
        <w:t>or only if raised by the parties</w:t>
      </w:r>
      <w:r w:rsidRPr="00C544E3">
        <w:rPr>
          <w:rFonts w:ascii="Times New Roman" w:hAnsi="Times New Roman" w:cs="Times New Roman"/>
        </w:rPr>
        <w:t>?</w:t>
      </w:r>
      <w:r w:rsidR="00F855CF" w:rsidRPr="00C544E3">
        <w:rPr>
          <w:rFonts w:ascii="Times New Roman" w:eastAsia="Times New Roman" w:hAnsi="Times New Roman" w:cs="Times New Roman"/>
          <w:color w:val="0E101A"/>
          <w:sz w:val="24"/>
          <w:szCs w:val="24"/>
          <w:lang w:eastAsia="en-GB"/>
        </w:rPr>
        <w:t> </w:t>
      </w:r>
    </w:p>
    <w:p w14:paraId="417A7703" w14:textId="12347B1F" w:rsidR="00471DB8" w:rsidRDefault="00471DB8" w:rsidP="00471DB8">
      <w:pPr>
        <w:pStyle w:val="ListParagraph"/>
        <w:spacing w:after="0" w:line="240" w:lineRule="auto"/>
        <w:jc w:val="both"/>
        <w:rPr>
          <w:rFonts w:ascii="Times New Roman" w:eastAsia="Times New Roman" w:hAnsi="Times New Roman" w:cs="Times New Roman"/>
          <w:color w:val="0E101A"/>
          <w:sz w:val="24"/>
          <w:szCs w:val="24"/>
          <w:lang w:eastAsia="en-GB"/>
        </w:rPr>
      </w:pPr>
    </w:p>
    <w:p w14:paraId="2A844C91" w14:textId="4E3A694E" w:rsidR="000C5019" w:rsidRPr="009C2892" w:rsidRDefault="00FC0595" w:rsidP="0021476E">
      <w:pPr>
        <w:spacing w:after="0" w:line="240" w:lineRule="auto"/>
        <w:jc w:val="both"/>
        <w:rPr>
          <w:rFonts w:ascii="Times New Roman" w:hAnsi="Times New Roman" w:cs="Times New Roman"/>
          <w:color w:val="4472C4" w:themeColor="accent1"/>
          <w:sz w:val="24"/>
          <w:szCs w:val="24"/>
        </w:rPr>
      </w:pPr>
      <w:r w:rsidRPr="009C2892">
        <w:rPr>
          <w:rFonts w:ascii="Times New Roman" w:hAnsi="Times New Roman" w:cs="Times New Roman"/>
          <w:color w:val="4472C4" w:themeColor="accent1"/>
          <w:sz w:val="24"/>
          <w:szCs w:val="24"/>
        </w:rPr>
        <w:t xml:space="preserve">Pursuant to Article 782 of the Code of Civil Procedure, the court </w:t>
      </w:r>
      <w:proofErr w:type="spellStart"/>
      <w:r w:rsidRPr="009C2892">
        <w:rPr>
          <w:rFonts w:ascii="Times New Roman" w:hAnsi="Times New Roman" w:cs="Times New Roman"/>
          <w:color w:val="4472C4" w:themeColor="accent1"/>
          <w:sz w:val="24"/>
          <w:szCs w:val="24"/>
        </w:rPr>
        <w:t>seised</w:t>
      </w:r>
      <w:proofErr w:type="spellEnd"/>
      <w:r w:rsidRPr="009C2892">
        <w:rPr>
          <w:rFonts w:ascii="Times New Roman" w:hAnsi="Times New Roman" w:cs="Times New Roman"/>
          <w:color w:val="4472C4" w:themeColor="accent1"/>
          <w:sz w:val="24"/>
          <w:szCs w:val="24"/>
        </w:rPr>
        <w:t xml:space="preserve"> of the case must, on its own initiative, verify whether it has jurisdiction over a case with a foreign/international element. </w:t>
      </w:r>
      <w:r w:rsidR="00582D02" w:rsidRPr="009C2892">
        <w:rPr>
          <w:rFonts w:ascii="Times New Roman" w:hAnsi="Times New Roman" w:cs="Times New Roman"/>
          <w:color w:val="4472C4" w:themeColor="accent1"/>
          <w:sz w:val="24"/>
          <w:szCs w:val="24"/>
        </w:rPr>
        <w:t>Moreover, according to well-established case law, the court, when deciding whether to institute proceedings, must check the jurisdiction of each individual claim in a family case with a foreign/international element.</w:t>
      </w:r>
      <w:r w:rsidR="00582D02" w:rsidRPr="009C2892">
        <w:rPr>
          <w:rStyle w:val="FootnoteReference"/>
          <w:rFonts w:ascii="Times New Roman" w:hAnsi="Times New Roman" w:cs="Times New Roman"/>
          <w:color w:val="4472C4" w:themeColor="accent1"/>
          <w:sz w:val="24"/>
          <w:szCs w:val="24"/>
        </w:rPr>
        <w:footnoteReference w:id="36"/>
      </w:r>
    </w:p>
    <w:p w14:paraId="596D9797" w14:textId="77777777" w:rsidR="000C5019" w:rsidRPr="009C2892" w:rsidRDefault="000C5019" w:rsidP="00471DB8">
      <w:pPr>
        <w:pStyle w:val="ListParagraph"/>
        <w:spacing w:after="0" w:line="240" w:lineRule="auto"/>
        <w:jc w:val="both"/>
        <w:rPr>
          <w:rFonts w:ascii="Times New Roman" w:hAnsi="Times New Roman" w:cs="Times New Roman"/>
          <w:color w:val="4472C4" w:themeColor="accent1"/>
          <w:sz w:val="24"/>
          <w:szCs w:val="24"/>
        </w:rPr>
      </w:pPr>
    </w:p>
    <w:p w14:paraId="39769D43" w14:textId="63B5ACE5" w:rsidR="000C5019" w:rsidRDefault="00FC0595" w:rsidP="0021476E">
      <w:pPr>
        <w:spacing w:after="0" w:line="240" w:lineRule="auto"/>
        <w:jc w:val="both"/>
        <w:rPr>
          <w:rFonts w:ascii="Times New Roman" w:hAnsi="Times New Roman" w:cs="Times New Roman"/>
          <w:color w:val="4472C4" w:themeColor="accent1"/>
          <w:sz w:val="24"/>
          <w:szCs w:val="24"/>
        </w:rPr>
      </w:pPr>
      <w:r w:rsidRPr="009C2892">
        <w:rPr>
          <w:rFonts w:ascii="Times New Roman" w:hAnsi="Times New Roman" w:cs="Times New Roman"/>
          <w:color w:val="4472C4" w:themeColor="accent1"/>
          <w:sz w:val="24"/>
          <w:szCs w:val="24"/>
        </w:rPr>
        <w:t xml:space="preserve">Therefore, </w:t>
      </w:r>
      <w:r w:rsidR="00582D02" w:rsidRPr="009C2892">
        <w:rPr>
          <w:rFonts w:ascii="Times New Roman" w:hAnsi="Times New Roman" w:cs="Times New Roman"/>
          <w:color w:val="4472C4" w:themeColor="accent1"/>
          <w:sz w:val="24"/>
          <w:szCs w:val="24"/>
        </w:rPr>
        <w:t xml:space="preserve">in the cases </w:t>
      </w:r>
      <w:r w:rsidR="004E016C">
        <w:rPr>
          <w:rFonts w:ascii="Times New Roman" w:hAnsi="Times New Roman" w:cs="Times New Roman"/>
          <w:color w:val="4472C4" w:themeColor="accent1"/>
          <w:sz w:val="24"/>
          <w:szCs w:val="24"/>
        </w:rPr>
        <w:t>of</w:t>
      </w:r>
      <w:r w:rsidR="00582D02" w:rsidRPr="009C2892">
        <w:rPr>
          <w:rFonts w:ascii="Times New Roman" w:hAnsi="Times New Roman" w:cs="Times New Roman"/>
          <w:color w:val="4472C4" w:themeColor="accent1"/>
          <w:sz w:val="24"/>
          <w:szCs w:val="24"/>
        </w:rPr>
        <w:t xml:space="preserve"> parental responsibilities, </w:t>
      </w:r>
      <w:r w:rsidRPr="009C2892">
        <w:rPr>
          <w:rFonts w:ascii="Times New Roman" w:hAnsi="Times New Roman" w:cs="Times New Roman"/>
          <w:color w:val="4472C4" w:themeColor="accent1"/>
          <w:sz w:val="24"/>
          <w:szCs w:val="24"/>
        </w:rPr>
        <w:t xml:space="preserve">the courts examine their jurisdiction </w:t>
      </w:r>
      <w:r w:rsidRPr="003A7189">
        <w:rPr>
          <w:rFonts w:ascii="Times New Roman" w:hAnsi="Times New Roman" w:cs="Times New Roman"/>
          <w:i/>
          <w:iCs/>
          <w:color w:val="4472C4" w:themeColor="accent1"/>
          <w:sz w:val="24"/>
          <w:szCs w:val="24"/>
        </w:rPr>
        <w:t>ex officio</w:t>
      </w:r>
      <w:r w:rsidR="006E14E1" w:rsidRPr="009C2892">
        <w:rPr>
          <w:rFonts w:ascii="Times New Roman" w:hAnsi="Times New Roman" w:cs="Times New Roman"/>
          <w:color w:val="4472C4" w:themeColor="accent1"/>
          <w:sz w:val="24"/>
          <w:szCs w:val="24"/>
        </w:rPr>
        <w:t xml:space="preserve"> and apply </w:t>
      </w:r>
      <w:r w:rsidR="000C5019" w:rsidRPr="009C2892">
        <w:rPr>
          <w:rFonts w:ascii="Times New Roman" w:hAnsi="Times New Roman" w:cs="Times New Roman"/>
          <w:color w:val="4472C4" w:themeColor="accent1"/>
          <w:sz w:val="24"/>
          <w:szCs w:val="24"/>
        </w:rPr>
        <w:t xml:space="preserve">Brussels IIter </w:t>
      </w:r>
      <w:r w:rsidR="00407CA9">
        <w:rPr>
          <w:rFonts w:ascii="Times New Roman" w:hAnsi="Times New Roman" w:cs="Times New Roman"/>
          <w:color w:val="4472C4" w:themeColor="accent1"/>
          <w:sz w:val="24"/>
          <w:szCs w:val="24"/>
        </w:rPr>
        <w:t>R</w:t>
      </w:r>
      <w:r w:rsidR="000C5019" w:rsidRPr="009C2892">
        <w:rPr>
          <w:rFonts w:ascii="Times New Roman" w:hAnsi="Times New Roman" w:cs="Times New Roman"/>
          <w:color w:val="4472C4" w:themeColor="accent1"/>
          <w:sz w:val="24"/>
          <w:szCs w:val="24"/>
        </w:rPr>
        <w:t>egulation</w:t>
      </w:r>
      <w:r w:rsidR="00582D02" w:rsidRPr="009C2892">
        <w:rPr>
          <w:rFonts w:ascii="Times New Roman" w:hAnsi="Times New Roman" w:cs="Times New Roman"/>
          <w:color w:val="4472C4" w:themeColor="accent1"/>
          <w:sz w:val="24"/>
          <w:szCs w:val="24"/>
        </w:rPr>
        <w:t xml:space="preserve"> – </w:t>
      </w:r>
      <w:r w:rsidR="006E14E1" w:rsidRPr="009C2892">
        <w:rPr>
          <w:rFonts w:ascii="Times New Roman" w:hAnsi="Times New Roman" w:cs="Times New Roman"/>
          <w:color w:val="4472C4" w:themeColor="accent1"/>
          <w:sz w:val="24"/>
          <w:szCs w:val="24"/>
        </w:rPr>
        <w:t>1996 Hague Convention</w:t>
      </w:r>
      <w:r w:rsidR="00582D02" w:rsidRPr="009C2892">
        <w:rPr>
          <w:rFonts w:ascii="Times New Roman" w:hAnsi="Times New Roman" w:cs="Times New Roman"/>
          <w:color w:val="4472C4" w:themeColor="accent1"/>
          <w:sz w:val="24"/>
          <w:szCs w:val="24"/>
        </w:rPr>
        <w:t xml:space="preserve"> –</w:t>
      </w:r>
      <w:r w:rsidR="006E14E1" w:rsidRPr="009C2892">
        <w:rPr>
          <w:rFonts w:ascii="Times New Roman" w:hAnsi="Times New Roman" w:cs="Times New Roman"/>
          <w:color w:val="4472C4" w:themeColor="accent1"/>
          <w:sz w:val="24"/>
          <w:szCs w:val="24"/>
        </w:rPr>
        <w:t xml:space="preserve"> bilateral agreements</w:t>
      </w:r>
      <w:r w:rsidR="00582D02" w:rsidRPr="009C2892">
        <w:rPr>
          <w:rFonts w:ascii="Times New Roman" w:hAnsi="Times New Roman" w:cs="Times New Roman"/>
          <w:color w:val="4472C4" w:themeColor="accent1"/>
          <w:sz w:val="24"/>
          <w:szCs w:val="24"/>
        </w:rPr>
        <w:t>,</w:t>
      </w:r>
      <w:r w:rsidR="006E14E1" w:rsidRPr="009C2892">
        <w:rPr>
          <w:rFonts w:ascii="Times New Roman" w:hAnsi="Times New Roman" w:cs="Times New Roman"/>
          <w:color w:val="4472C4" w:themeColor="accent1"/>
          <w:sz w:val="24"/>
          <w:szCs w:val="24"/>
        </w:rPr>
        <w:t xml:space="preserve"> or, if none of them applies, </w:t>
      </w:r>
      <w:r w:rsidR="00407CA9" w:rsidRPr="009C2892">
        <w:rPr>
          <w:rFonts w:ascii="Times New Roman" w:hAnsi="Times New Roman" w:cs="Times New Roman"/>
          <w:color w:val="4472C4" w:themeColor="accent1"/>
          <w:sz w:val="24"/>
          <w:szCs w:val="24"/>
        </w:rPr>
        <w:t>–</w:t>
      </w:r>
      <w:r w:rsidR="00582D02" w:rsidRPr="009C2892">
        <w:rPr>
          <w:rFonts w:ascii="Times New Roman" w:hAnsi="Times New Roman" w:cs="Times New Roman"/>
          <w:color w:val="4472C4" w:themeColor="accent1"/>
          <w:sz w:val="24"/>
          <w:szCs w:val="24"/>
        </w:rPr>
        <w:t xml:space="preserve"> </w:t>
      </w:r>
      <w:r w:rsidR="006E14E1" w:rsidRPr="009C2892">
        <w:rPr>
          <w:rFonts w:ascii="Times New Roman" w:hAnsi="Times New Roman" w:cs="Times New Roman"/>
          <w:color w:val="4472C4" w:themeColor="accent1"/>
          <w:sz w:val="24"/>
          <w:szCs w:val="24"/>
        </w:rPr>
        <w:t>national law</w:t>
      </w:r>
      <w:r w:rsidRPr="009C2892">
        <w:rPr>
          <w:rFonts w:ascii="Times New Roman" w:hAnsi="Times New Roman" w:cs="Times New Roman"/>
          <w:color w:val="4472C4" w:themeColor="accent1"/>
          <w:sz w:val="24"/>
          <w:szCs w:val="24"/>
        </w:rPr>
        <w:t>.</w:t>
      </w:r>
      <w:r w:rsidR="000C5019" w:rsidRPr="009C2892">
        <w:rPr>
          <w:rFonts w:ascii="Times New Roman" w:hAnsi="Times New Roman" w:cs="Times New Roman"/>
          <w:color w:val="4472C4" w:themeColor="accent1"/>
          <w:sz w:val="24"/>
          <w:szCs w:val="24"/>
        </w:rPr>
        <w:t xml:space="preserve"> Usually, this is noted in </w:t>
      </w:r>
      <w:r w:rsidR="009C2892" w:rsidRPr="009C2892">
        <w:rPr>
          <w:rFonts w:ascii="Times New Roman" w:hAnsi="Times New Roman" w:cs="Times New Roman"/>
          <w:color w:val="4472C4" w:themeColor="accent1"/>
          <w:sz w:val="24"/>
          <w:szCs w:val="24"/>
        </w:rPr>
        <w:t>a</w:t>
      </w:r>
      <w:r w:rsidR="000C5019" w:rsidRPr="009C2892">
        <w:rPr>
          <w:rFonts w:ascii="Times New Roman" w:hAnsi="Times New Roman" w:cs="Times New Roman"/>
          <w:color w:val="4472C4" w:themeColor="accent1"/>
          <w:sz w:val="24"/>
          <w:szCs w:val="24"/>
        </w:rPr>
        <w:t xml:space="preserve"> judgement using such a phrase: “[The Kingdom of Norway] has been a member of the 1996 Hague Convention since [2006], and therefore the Hague Convention, and not the national rules of jurisdiction, apply in the present case”.</w:t>
      </w:r>
    </w:p>
    <w:p w14:paraId="05EEAAE3" w14:textId="301E78AB" w:rsidR="00243AA7" w:rsidRDefault="00243AA7" w:rsidP="0021476E">
      <w:pPr>
        <w:spacing w:after="0" w:line="240" w:lineRule="auto"/>
        <w:jc w:val="both"/>
        <w:rPr>
          <w:rFonts w:ascii="Times New Roman" w:hAnsi="Times New Roman" w:cs="Times New Roman"/>
          <w:color w:val="4472C4" w:themeColor="accent1"/>
          <w:sz w:val="24"/>
          <w:szCs w:val="24"/>
        </w:rPr>
      </w:pPr>
    </w:p>
    <w:p w14:paraId="1C08066C" w14:textId="0A378642" w:rsidR="00243AA7" w:rsidRPr="009C2892" w:rsidRDefault="00243AA7" w:rsidP="0021476E">
      <w:pPr>
        <w:spacing w:after="0" w:line="240" w:lineRule="auto"/>
        <w:jc w:val="both"/>
        <w:rPr>
          <w:rFonts w:ascii="Times New Roman" w:hAnsi="Times New Roman" w:cs="Times New Roman"/>
          <w:color w:val="4472C4" w:themeColor="accent1"/>
          <w:sz w:val="24"/>
          <w:szCs w:val="24"/>
        </w:rPr>
      </w:pPr>
    </w:p>
    <w:p w14:paraId="38964094" w14:textId="77777777" w:rsidR="00471DB8" w:rsidRPr="00C544E3" w:rsidRDefault="00471DB8" w:rsidP="00471DB8">
      <w:pPr>
        <w:pStyle w:val="ListParagraph"/>
        <w:spacing w:after="0" w:line="240" w:lineRule="auto"/>
        <w:jc w:val="both"/>
        <w:rPr>
          <w:rFonts w:ascii="Times New Roman" w:eastAsia="Times New Roman" w:hAnsi="Times New Roman" w:cs="Times New Roman"/>
          <w:color w:val="0E101A"/>
          <w:sz w:val="24"/>
          <w:szCs w:val="24"/>
          <w:lang w:eastAsia="en-GB"/>
        </w:rPr>
      </w:pPr>
    </w:p>
    <w:p w14:paraId="21592A35" w14:textId="7FE6C7E8" w:rsidR="00947DAC" w:rsidRDefault="008C268B" w:rsidP="008A76E4">
      <w:pPr>
        <w:pStyle w:val="ListParagraph"/>
        <w:numPr>
          <w:ilvl w:val="0"/>
          <w:numId w:val="8"/>
        </w:numPr>
        <w:jc w:val="both"/>
        <w:rPr>
          <w:rFonts w:ascii="Times New Roman" w:hAnsi="Times New Roman" w:cs="Times New Roman"/>
        </w:rPr>
      </w:pPr>
      <w:r w:rsidRPr="00C544E3">
        <w:rPr>
          <w:rFonts w:ascii="Times New Roman" w:hAnsi="Times New Roman" w:cs="Times New Roman"/>
        </w:rPr>
        <w:t>D</w:t>
      </w:r>
      <w:r w:rsidR="00947DAC" w:rsidRPr="00C544E3">
        <w:rPr>
          <w:rFonts w:ascii="Times New Roman" w:hAnsi="Times New Roman" w:cs="Times New Roman"/>
        </w:rPr>
        <w:t xml:space="preserve">o you consider the approach taken by the courts of your </w:t>
      </w:r>
      <w:r w:rsidR="00143971" w:rsidRPr="00C544E3">
        <w:rPr>
          <w:rFonts w:ascii="Times New Roman" w:hAnsi="Times New Roman" w:cs="Times New Roman"/>
        </w:rPr>
        <w:t>country</w:t>
      </w:r>
      <w:r w:rsidR="003839DB" w:rsidRPr="00C544E3">
        <w:rPr>
          <w:rFonts w:ascii="Times New Roman" w:hAnsi="Times New Roman" w:cs="Times New Roman"/>
        </w:rPr>
        <w:t xml:space="preserve"> to be</w:t>
      </w:r>
      <w:r w:rsidR="00947DAC" w:rsidRPr="00C544E3">
        <w:rPr>
          <w:rFonts w:ascii="Times New Roman" w:hAnsi="Times New Roman" w:cs="Times New Roman"/>
        </w:rPr>
        <w:t xml:space="preserve"> different from the approach taken in other </w:t>
      </w:r>
      <w:r w:rsidR="00143971" w:rsidRPr="00C544E3">
        <w:rPr>
          <w:rFonts w:ascii="Times New Roman" w:hAnsi="Times New Roman" w:cs="Times New Roman"/>
        </w:rPr>
        <w:t>countries</w:t>
      </w:r>
      <w:r w:rsidR="003839DB" w:rsidRPr="00C544E3">
        <w:rPr>
          <w:rFonts w:ascii="Times New Roman" w:hAnsi="Times New Roman" w:cs="Times New Roman"/>
        </w:rPr>
        <w:t xml:space="preserve">, especially non-EU </w:t>
      </w:r>
      <w:r w:rsidR="00143971" w:rsidRPr="00C544E3">
        <w:rPr>
          <w:rFonts w:ascii="Times New Roman" w:hAnsi="Times New Roman" w:cs="Times New Roman"/>
        </w:rPr>
        <w:t>countries</w:t>
      </w:r>
      <w:r w:rsidR="00947DAC" w:rsidRPr="00C544E3">
        <w:rPr>
          <w:rFonts w:ascii="Times New Roman" w:hAnsi="Times New Roman" w:cs="Times New Roman"/>
        </w:rPr>
        <w:t xml:space="preserve">? Please mention any notable examples of case law that demonstrate </w:t>
      </w:r>
      <w:r w:rsidR="00A51F9B" w:rsidRPr="00C544E3">
        <w:rPr>
          <w:rFonts w:ascii="Times New Roman" w:hAnsi="Times New Roman" w:cs="Times New Roman"/>
        </w:rPr>
        <w:t>the difference.</w:t>
      </w:r>
    </w:p>
    <w:p w14:paraId="538FFFAC" w14:textId="6DA718AE" w:rsidR="00FC0595" w:rsidRDefault="00FC0595" w:rsidP="00FC0595">
      <w:pPr>
        <w:pStyle w:val="ListParagraph"/>
        <w:jc w:val="both"/>
        <w:rPr>
          <w:rFonts w:ascii="Times New Roman" w:hAnsi="Times New Roman" w:cs="Times New Roman"/>
        </w:rPr>
      </w:pPr>
    </w:p>
    <w:p w14:paraId="198AE40A" w14:textId="43426416" w:rsidR="00582D02" w:rsidRPr="00243AA7" w:rsidRDefault="006E14E1" w:rsidP="0021476E">
      <w:pPr>
        <w:jc w:val="both"/>
        <w:rPr>
          <w:rFonts w:ascii="Times New Roman" w:hAnsi="Times New Roman" w:cs="Times New Roman"/>
          <w:color w:val="4472C4" w:themeColor="accent1"/>
          <w:sz w:val="24"/>
          <w:szCs w:val="24"/>
        </w:rPr>
      </w:pPr>
      <w:r w:rsidRPr="00243AA7">
        <w:rPr>
          <w:rFonts w:ascii="Times New Roman" w:hAnsi="Times New Roman" w:cs="Times New Roman"/>
          <w:color w:val="4472C4" w:themeColor="accent1"/>
          <w:sz w:val="24"/>
          <w:szCs w:val="24"/>
        </w:rPr>
        <w:t>I am not aware of a different approach</w:t>
      </w:r>
      <w:r w:rsidR="000C5019" w:rsidRPr="00243AA7">
        <w:rPr>
          <w:rFonts w:ascii="Times New Roman" w:hAnsi="Times New Roman" w:cs="Times New Roman"/>
          <w:color w:val="4472C4" w:themeColor="accent1"/>
          <w:sz w:val="24"/>
          <w:szCs w:val="24"/>
        </w:rPr>
        <w:t xml:space="preserve"> in other countries</w:t>
      </w:r>
      <w:r w:rsidRPr="00243AA7">
        <w:rPr>
          <w:rFonts w:ascii="Times New Roman" w:hAnsi="Times New Roman" w:cs="Times New Roman"/>
          <w:color w:val="4472C4" w:themeColor="accent1"/>
          <w:sz w:val="24"/>
          <w:szCs w:val="24"/>
        </w:rPr>
        <w:t xml:space="preserve">. </w:t>
      </w:r>
      <w:r w:rsidR="000C5019" w:rsidRPr="00243AA7">
        <w:rPr>
          <w:rFonts w:ascii="Times New Roman" w:hAnsi="Times New Roman" w:cs="Times New Roman"/>
          <w:color w:val="4472C4" w:themeColor="accent1"/>
          <w:sz w:val="24"/>
          <w:szCs w:val="24"/>
        </w:rPr>
        <w:t xml:space="preserve">In most cases, the jurisdiction of courts </w:t>
      </w:r>
      <w:r w:rsidR="00407CA9">
        <w:rPr>
          <w:rFonts w:ascii="Times New Roman" w:hAnsi="Times New Roman" w:cs="Times New Roman"/>
          <w:color w:val="4472C4" w:themeColor="accent1"/>
          <w:sz w:val="24"/>
          <w:szCs w:val="24"/>
        </w:rPr>
        <w:t xml:space="preserve">in parental responsibility cases </w:t>
      </w:r>
      <w:r w:rsidR="000C5019" w:rsidRPr="00243AA7">
        <w:rPr>
          <w:rFonts w:ascii="Times New Roman" w:hAnsi="Times New Roman" w:cs="Times New Roman"/>
          <w:color w:val="4472C4" w:themeColor="accent1"/>
          <w:sz w:val="24"/>
          <w:szCs w:val="24"/>
        </w:rPr>
        <w:t>is linked to the habitual residence of the child (Article 5</w:t>
      </w:r>
      <w:r w:rsidR="00407CA9">
        <w:rPr>
          <w:rFonts w:ascii="Times New Roman" w:hAnsi="Times New Roman" w:cs="Times New Roman"/>
          <w:color w:val="4472C4" w:themeColor="accent1"/>
          <w:sz w:val="24"/>
          <w:szCs w:val="24"/>
        </w:rPr>
        <w:t xml:space="preserve"> of the 1996 Hague Convention</w:t>
      </w:r>
      <w:r w:rsidR="000C5019" w:rsidRPr="00243AA7">
        <w:rPr>
          <w:rFonts w:ascii="Times New Roman" w:hAnsi="Times New Roman" w:cs="Times New Roman"/>
          <w:color w:val="4472C4" w:themeColor="accent1"/>
          <w:sz w:val="24"/>
          <w:szCs w:val="24"/>
        </w:rPr>
        <w:t>).</w:t>
      </w:r>
    </w:p>
    <w:p w14:paraId="44B85BA3" w14:textId="77777777" w:rsidR="00471DB8" w:rsidRPr="00243AA7" w:rsidRDefault="00471DB8" w:rsidP="00471DB8">
      <w:pPr>
        <w:jc w:val="both"/>
        <w:rPr>
          <w:rFonts w:ascii="Times New Roman" w:hAnsi="Times New Roman" w:cs="Times New Roman"/>
        </w:rPr>
      </w:pPr>
    </w:p>
    <w:p w14:paraId="48BCC3D5" w14:textId="3C55F2FD" w:rsidR="00CD5066" w:rsidRPr="00243AA7" w:rsidRDefault="00DE2018" w:rsidP="008A76E4">
      <w:pPr>
        <w:pStyle w:val="ListParagraph"/>
        <w:numPr>
          <w:ilvl w:val="0"/>
          <w:numId w:val="8"/>
        </w:numPr>
        <w:jc w:val="both"/>
        <w:rPr>
          <w:rFonts w:ascii="Times New Roman" w:hAnsi="Times New Roman" w:cs="Times New Roman"/>
        </w:rPr>
      </w:pPr>
      <w:r w:rsidRPr="00243AA7">
        <w:rPr>
          <w:rFonts w:ascii="Times New Roman" w:hAnsi="Times New Roman" w:cs="Times New Roman"/>
        </w:rPr>
        <w:t>Is</w:t>
      </w:r>
      <w:r w:rsidR="00A51F9B" w:rsidRPr="00243AA7">
        <w:rPr>
          <w:rFonts w:ascii="Times New Roman" w:hAnsi="Times New Roman" w:cs="Times New Roman"/>
        </w:rPr>
        <w:t xml:space="preserve"> the process of determining jurisdiction </w:t>
      </w:r>
      <w:r w:rsidRPr="00243AA7">
        <w:rPr>
          <w:rFonts w:ascii="Times New Roman" w:hAnsi="Times New Roman" w:cs="Times New Roman"/>
        </w:rPr>
        <w:t>by the courts of your country</w:t>
      </w:r>
      <w:r w:rsidR="00A51F9B" w:rsidRPr="00243AA7">
        <w:rPr>
          <w:rFonts w:ascii="Times New Roman" w:hAnsi="Times New Roman" w:cs="Times New Roman"/>
        </w:rPr>
        <w:t xml:space="preserve"> different intra-EU </w:t>
      </w:r>
      <w:r w:rsidRPr="00243AA7">
        <w:rPr>
          <w:rFonts w:ascii="Times New Roman" w:hAnsi="Times New Roman" w:cs="Times New Roman"/>
        </w:rPr>
        <w:t xml:space="preserve">cases </w:t>
      </w:r>
      <w:r w:rsidR="00A51F9B" w:rsidRPr="00243AA7">
        <w:rPr>
          <w:rFonts w:ascii="Times New Roman" w:hAnsi="Times New Roman" w:cs="Times New Roman"/>
        </w:rPr>
        <w:t xml:space="preserve">and </w:t>
      </w:r>
      <w:r w:rsidRPr="00243AA7">
        <w:rPr>
          <w:rFonts w:ascii="Times New Roman" w:hAnsi="Times New Roman" w:cs="Times New Roman"/>
        </w:rPr>
        <w:t>cases involving third countries</w:t>
      </w:r>
      <w:r w:rsidR="00A51F9B" w:rsidRPr="00243AA7">
        <w:rPr>
          <w:rFonts w:ascii="Times New Roman" w:hAnsi="Times New Roman" w:cs="Times New Roman"/>
        </w:rPr>
        <w:t xml:space="preserve">? Please mention any notable examples that demonstrate </w:t>
      </w:r>
      <w:r w:rsidR="004C440E" w:rsidRPr="00243AA7">
        <w:rPr>
          <w:rFonts w:ascii="Times New Roman" w:hAnsi="Times New Roman" w:cs="Times New Roman"/>
        </w:rPr>
        <w:t xml:space="preserve">such </w:t>
      </w:r>
      <w:r w:rsidR="00A51F9B" w:rsidRPr="00243AA7">
        <w:rPr>
          <w:rFonts w:ascii="Times New Roman" w:hAnsi="Times New Roman" w:cs="Times New Roman"/>
        </w:rPr>
        <w:t xml:space="preserve">differences. </w:t>
      </w:r>
    </w:p>
    <w:p w14:paraId="172418F0" w14:textId="77777777" w:rsidR="006E14E1" w:rsidRPr="0021476E" w:rsidRDefault="006E14E1" w:rsidP="006E14E1">
      <w:pPr>
        <w:pStyle w:val="ListParagraph"/>
        <w:jc w:val="both"/>
        <w:rPr>
          <w:rFonts w:ascii="Times New Roman" w:hAnsi="Times New Roman" w:cs="Times New Roman"/>
          <w:color w:val="4472C4" w:themeColor="accent1"/>
          <w:highlight w:val="yellow"/>
        </w:rPr>
      </w:pPr>
    </w:p>
    <w:p w14:paraId="3978F12C" w14:textId="6A92E6CE" w:rsidR="00C2097E" w:rsidRPr="00243AA7" w:rsidRDefault="006E14E1" w:rsidP="0021476E">
      <w:pPr>
        <w:jc w:val="both"/>
        <w:rPr>
          <w:rFonts w:ascii="Times New Roman" w:hAnsi="Times New Roman" w:cs="Times New Roman"/>
          <w:color w:val="4472C4" w:themeColor="accent1"/>
          <w:sz w:val="24"/>
          <w:szCs w:val="24"/>
        </w:rPr>
      </w:pPr>
      <w:r w:rsidRPr="00243AA7">
        <w:rPr>
          <w:rFonts w:ascii="Times New Roman" w:hAnsi="Times New Roman" w:cs="Times New Roman"/>
          <w:color w:val="4472C4" w:themeColor="accent1"/>
          <w:sz w:val="24"/>
          <w:szCs w:val="24"/>
        </w:rPr>
        <w:t xml:space="preserve">Usually, non-EU countries </w:t>
      </w:r>
      <w:r w:rsidR="00B442FB">
        <w:rPr>
          <w:rFonts w:ascii="Times New Roman" w:hAnsi="Times New Roman" w:cs="Times New Roman"/>
          <w:color w:val="4472C4" w:themeColor="accent1"/>
          <w:sz w:val="24"/>
          <w:szCs w:val="24"/>
        </w:rPr>
        <w:t xml:space="preserve">that appear </w:t>
      </w:r>
      <w:r w:rsidRPr="00243AA7">
        <w:rPr>
          <w:rFonts w:ascii="Times New Roman" w:hAnsi="Times New Roman" w:cs="Times New Roman"/>
          <w:color w:val="4472C4" w:themeColor="accent1"/>
          <w:sz w:val="24"/>
          <w:szCs w:val="24"/>
        </w:rPr>
        <w:t>in Lithuanian family cases are European countries</w:t>
      </w:r>
      <w:r w:rsidR="00C2097E" w:rsidRPr="00243AA7">
        <w:rPr>
          <w:rFonts w:ascii="Times New Roman" w:hAnsi="Times New Roman" w:cs="Times New Roman"/>
          <w:color w:val="4472C4" w:themeColor="accent1"/>
          <w:sz w:val="24"/>
          <w:szCs w:val="24"/>
        </w:rPr>
        <w:t xml:space="preserve"> party to the </w:t>
      </w:r>
      <w:r w:rsidR="00243AA7" w:rsidRPr="00243AA7">
        <w:rPr>
          <w:rFonts w:ascii="Times New Roman" w:hAnsi="Times New Roman" w:cs="Times New Roman"/>
          <w:color w:val="4472C4" w:themeColor="accent1"/>
          <w:sz w:val="24"/>
          <w:szCs w:val="24"/>
          <w:lang w:val="en-US"/>
        </w:rPr>
        <w:t xml:space="preserve">1996 </w:t>
      </w:r>
      <w:r w:rsidR="00C2097E" w:rsidRPr="00243AA7">
        <w:rPr>
          <w:rFonts w:ascii="Times New Roman" w:hAnsi="Times New Roman" w:cs="Times New Roman"/>
          <w:color w:val="4472C4" w:themeColor="accent1"/>
          <w:sz w:val="24"/>
          <w:szCs w:val="24"/>
        </w:rPr>
        <w:t>Hague Convention</w:t>
      </w:r>
      <w:r w:rsidRPr="00243AA7">
        <w:rPr>
          <w:rFonts w:ascii="Times New Roman" w:hAnsi="Times New Roman" w:cs="Times New Roman"/>
          <w:color w:val="4472C4" w:themeColor="accent1"/>
          <w:sz w:val="24"/>
          <w:szCs w:val="24"/>
        </w:rPr>
        <w:t xml:space="preserve"> (</w:t>
      </w:r>
      <w:r w:rsidR="00B442FB">
        <w:rPr>
          <w:rFonts w:ascii="Times New Roman" w:hAnsi="Times New Roman" w:cs="Times New Roman"/>
          <w:color w:val="4472C4" w:themeColor="accent1"/>
          <w:sz w:val="24"/>
          <w:szCs w:val="24"/>
        </w:rPr>
        <w:t xml:space="preserve">most often </w:t>
      </w:r>
      <w:r w:rsidR="00407CA9">
        <w:rPr>
          <w:rFonts w:ascii="Times New Roman" w:hAnsi="Times New Roman" w:cs="Times New Roman"/>
          <w:color w:val="4472C4" w:themeColor="accent1"/>
          <w:sz w:val="24"/>
          <w:szCs w:val="24"/>
        </w:rPr>
        <w:t>–</w:t>
      </w:r>
      <w:r w:rsidR="00B442FB">
        <w:rPr>
          <w:rFonts w:ascii="Times New Roman" w:hAnsi="Times New Roman" w:cs="Times New Roman"/>
          <w:color w:val="4472C4" w:themeColor="accent1"/>
          <w:sz w:val="24"/>
          <w:szCs w:val="24"/>
        </w:rPr>
        <w:t xml:space="preserve"> the UK </w:t>
      </w:r>
      <w:r w:rsidR="004E016C">
        <w:rPr>
          <w:rFonts w:ascii="Times New Roman" w:hAnsi="Times New Roman" w:cs="Times New Roman"/>
          <w:color w:val="4472C4" w:themeColor="accent1"/>
          <w:sz w:val="24"/>
          <w:szCs w:val="24"/>
        </w:rPr>
        <w:t xml:space="preserve">and </w:t>
      </w:r>
      <w:r w:rsidRPr="00243AA7">
        <w:rPr>
          <w:rFonts w:ascii="Times New Roman" w:hAnsi="Times New Roman" w:cs="Times New Roman"/>
          <w:color w:val="4472C4" w:themeColor="accent1"/>
          <w:sz w:val="24"/>
          <w:szCs w:val="24"/>
        </w:rPr>
        <w:t>Norway)</w:t>
      </w:r>
      <w:r w:rsidR="00C2097E" w:rsidRPr="00243AA7">
        <w:rPr>
          <w:rFonts w:ascii="Times New Roman" w:hAnsi="Times New Roman" w:cs="Times New Roman"/>
          <w:color w:val="4472C4" w:themeColor="accent1"/>
          <w:sz w:val="24"/>
          <w:szCs w:val="24"/>
        </w:rPr>
        <w:t xml:space="preserve">. </w:t>
      </w:r>
      <w:r w:rsidR="009B79FE" w:rsidRPr="00243AA7">
        <w:rPr>
          <w:rFonts w:ascii="Times New Roman" w:hAnsi="Times New Roman" w:cs="Times New Roman"/>
          <w:color w:val="4472C4" w:themeColor="accent1"/>
          <w:sz w:val="24"/>
          <w:szCs w:val="24"/>
        </w:rPr>
        <w:t>From a brief analysis of the case law</w:t>
      </w:r>
      <w:r w:rsidR="00243AA7" w:rsidRPr="00243AA7">
        <w:rPr>
          <w:rFonts w:ascii="Times New Roman" w:hAnsi="Times New Roman" w:cs="Times New Roman"/>
          <w:color w:val="4472C4" w:themeColor="accent1"/>
          <w:sz w:val="24"/>
          <w:szCs w:val="24"/>
        </w:rPr>
        <w:t xml:space="preserve"> (which is limited, some of the cases </w:t>
      </w:r>
      <w:r w:rsidR="00F158F6">
        <w:rPr>
          <w:rFonts w:ascii="Times New Roman" w:hAnsi="Times New Roman" w:cs="Times New Roman"/>
          <w:color w:val="4472C4" w:themeColor="accent1"/>
          <w:sz w:val="24"/>
          <w:szCs w:val="24"/>
        </w:rPr>
        <w:t>are</w:t>
      </w:r>
      <w:r w:rsidR="00243AA7" w:rsidRPr="00243AA7">
        <w:rPr>
          <w:rFonts w:ascii="Times New Roman" w:hAnsi="Times New Roman" w:cs="Times New Roman"/>
          <w:color w:val="4472C4" w:themeColor="accent1"/>
          <w:sz w:val="24"/>
          <w:szCs w:val="24"/>
        </w:rPr>
        <w:t xml:space="preserve"> not public)</w:t>
      </w:r>
      <w:r w:rsidR="009B79FE" w:rsidRPr="00243AA7">
        <w:rPr>
          <w:rFonts w:ascii="Times New Roman" w:hAnsi="Times New Roman" w:cs="Times New Roman"/>
          <w:color w:val="4472C4" w:themeColor="accent1"/>
          <w:sz w:val="24"/>
          <w:szCs w:val="24"/>
        </w:rPr>
        <w:t xml:space="preserve">, it appears that the principles of </w:t>
      </w:r>
      <w:r w:rsidR="009B79FE" w:rsidRPr="00243AA7">
        <w:rPr>
          <w:rFonts w:ascii="Times New Roman" w:hAnsi="Times New Roman" w:cs="Times New Roman"/>
          <w:color w:val="4472C4" w:themeColor="accent1"/>
          <w:sz w:val="24"/>
          <w:szCs w:val="24"/>
        </w:rPr>
        <w:lastRenderedPageBreak/>
        <w:t>establishing the</w:t>
      </w:r>
      <w:r w:rsidR="00243AA7" w:rsidRPr="00243AA7">
        <w:rPr>
          <w:rFonts w:ascii="Times New Roman" w:hAnsi="Times New Roman" w:cs="Times New Roman"/>
          <w:color w:val="4472C4" w:themeColor="accent1"/>
          <w:sz w:val="24"/>
          <w:szCs w:val="24"/>
        </w:rPr>
        <w:t xml:space="preserve"> jurisdiction (based on</w:t>
      </w:r>
      <w:r w:rsidR="009B79FE" w:rsidRPr="00243AA7">
        <w:rPr>
          <w:rFonts w:ascii="Times New Roman" w:hAnsi="Times New Roman" w:cs="Times New Roman"/>
          <w:color w:val="4472C4" w:themeColor="accent1"/>
          <w:sz w:val="24"/>
          <w:szCs w:val="24"/>
        </w:rPr>
        <w:t xml:space="preserve"> </w:t>
      </w:r>
      <w:r w:rsidR="00243AA7" w:rsidRPr="00243AA7">
        <w:rPr>
          <w:rFonts w:ascii="Times New Roman" w:hAnsi="Times New Roman" w:cs="Times New Roman"/>
          <w:color w:val="4472C4" w:themeColor="accent1"/>
          <w:sz w:val="24"/>
          <w:szCs w:val="24"/>
        </w:rPr>
        <w:t xml:space="preserve">the </w:t>
      </w:r>
      <w:r w:rsidR="009B79FE" w:rsidRPr="00243AA7">
        <w:rPr>
          <w:rFonts w:ascii="Times New Roman" w:hAnsi="Times New Roman" w:cs="Times New Roman"/>
          <w:color w:val="4472C4" w:themeColor="accent1"/>
          <w:sz w:val="24"/>
          <w:szCs w:val="24"/>
        </w:rPr>
        <w:t>habitual residence of the child</w:t>
      </w:r>
      <w:r w:rsidR="00243AA7" w:rsidRPr="00243AA7">
        <w:rPr>
          <w:rFonts w:ascii="Times New Roman" w:hAnsi="Times New Roman" w:cs="Times New Roman"/>
          <w:color w:val="4472C4" w:themeColor="accent1"/>
          <w:sz w:val="24"/>
          <w:szCs w:val="24"/>
        </w:rPr>
        <w:t>)</w:t>
      </w:r>
      <w:r w:rsidR="009B79FE" w:rsidRPr="00243AA7">
        <w:rPr>
          <w:rFonts w:ascii="Times New Roman" w:hAnsi="Times New Roman" w:cs="Times New Roman"/>
          <w:color w:val="4472C4" w:themeColor="accent1"/>
          <w:sz w:val="24"/>
          <w:szCs w:val="24"/>
        </w:rPr>
        <w:t xml:space="preserve"> are similar to those applied in </w:t>
      </w:r>
      <w:r w:rsidR="004E016C">
        <w:rPr>
          <w:rFonts w:ascii="Times New Roman" w:hAnsi="Times New Roman" w:cs="Times New Roman"/>
          <w:color w:val="4472C4" w:themeColor="accent1"/>
          <w:sz w:val="24"/>
          <w:szCs w:val="24"/>
        </w:rPr>
        <w:t xml:space="preserve">the </w:t>
      </w:r>
      <w:r w:rsidR="009B79FE" w:rsidRPr="00243AA7">
        <w:rPr>
          <w:rFonts w:ascii="Times New Roman" w:hAnsi="Times New Roman" w:cs="Times New Roman"/>
          <w:color w:val="4472C4" w:themeColor="accent1"/>
          <w:sz w:val="24"/>
          <w:szCs w:val="24"/>
        </w:rPr>
        <w:t>case</w:t>
      </w:r>
      <w:r w:rsidR="004E016C">
        <w:rPr>
          <w:rFonts w:ascii="Times New Roman" w:hAnsi="Times New Roman" w:cs="Times New Roman"/>
          <w:color w:val="4472C4" w:themeColor="accent1"/>
          <w:sz w:val="24"/>
          <w:szCs w:val="24"/>
        </w:rPr>
        <w:t>s linked to</w:t>
      </w:r>
      <w:r w:rsidR="009B79FE" w:rsidRPr="00243AA7">
        <w:rPr>
          <w:rFonts w:ascii="Times New Roman" w:hAnsi="Times New Roman" w:cs="Times New Roman"/>
          <w:color w:val="4472C4" w:themeColor="accent1"/>
          <w:sz w:val="24"/>
          <w:szCs w:val="24"/>
        </w:rPr>
        <w:t xml:space="preserve"> EU countries.</w:t>
      </w:r>
    </w:p>
    <w:p w14:paraId="59DF84EE" w14:textId="35266DDF" w:rsidR="000C5019" w:rsidRPr="00243AA7" w:rsidRDefault="00C2097E" w:rsidP="00282B6C">
      <w:pPr>
        <w:jc w:val="both"/>
        <w:rPr>
          <w:rFonts w:ascii="Times New Roman" w:hAnsi="Times New Roman" w:cs="Times New Roman"/>
          <w:color w:val="4472C4" w:themeColor="accent1"/>
          <w:sz w:val="24"/>
          <w:szCs w:val="24"/>
        </w:rPr>
      </w:pPr>
      <w:r w:rsidRPr="00243AA7">
        <w:rPr>
          <w:rFonts w:ascii="Times New Roman" w:hAnsi="Times New Roman" w:cs="Times New Roman"/>
          <w:color w:val="4472C4" w:themeColor="accent1"/>
          <w:sz w:val="24"/>
          <w:szCs w:val="24"/>
        </w:rPr>
        <w:t xml:space="preserve">It should be noted that in relations with </w:t>
      </w:r>
      <w:r w:rsidR="00407CA9">
        <w:rPr>
          <w:rFonts w:ascii="Times New Roman" w:hAnsi="Times New Roman" w:cs="Times New Roman"/>
          <w:color w:val="4472C4" w:themeColor="accent1"/>
          <w:sz w:val="24"/>
          <w:szCs w:val="24"/>
        </w:rPr>
        <w:t>s</w:t>
      </w:r>
      <w:r w:rsidRPr="00243AA7">
        <w:rPr>
          <w:rFonts w:ascii="Times New Roman" w:hAnsi="Times New Roman" w:cs="Times New Roman"/>
          <w:color w:val="4472C4" w:themeColor="accent1"/>
          <w:sz w:val="24"/>
          <w:szCs w:val="24"/>
        </w:rPr>
        <w:t>tates with which Lithuania has concluded international legal assistance treaties, the international legal assistance treaty will be applied instead of the 1996 Hague Convention</w:t>
      </w:r>
      <w:r w:rsidR="009B79FE" w:rsidRPr="00243AA7">
        <w:rPr>
          <w:rFonts w:ascii="Times New Roman" w:hAnsi="Times New Roman" w:cs="Times New Roman"/>
          <w:color w:val="4472C4" w:themeColor="accent1"/>
          <w:sz w:val="24"/>
          <w:szCs w:val="24"/>
        </w:rPr>
        <w:t>, unless a contrary declaration is made by the States Parties to a such bilateral treaty</w:t>
      </w:r>
      <w:r w:rsidRPr="00243AA7">
        <w:rPr>
          <w:rFonts w:ascii="Times New Roman" w:hAnsi="Times New Roman" w:cs="Times New Roman"/>
          <w:color w:val="4472C4" w:themeColor="accent1"/>
          <w:sz w:val="24"/>
          <w:szCs w:val="24"/>
        </w:rPr>
        <w:t xml:space="preserve"> (Article 52 of the 1996 Hague Convention).</w:t>
      </w:r>
      <w:r w:rsidR="009B79FE" w:rsidRPr="00243AA7">
        <w:rPr>
          <w:rFonts w:ascii="Times New Roman" w:hAnsi="Times New Roman" w:cs="Times New Roman"/>
          <w:color w:val="4472C4" w:themeColor="accent1"/>
          <w:sz w:val="24"/>
          <w:szCs w:val="24"/>
        </w:rPr>
        <w:t xml:space="preserve"> Where a bilateral treaty is applied, it might grant priority to the child’s nationality over the habitual residence.</w:t>
      </w:r>
    </w:p>
    <w:p w14:paraId="770C8692" w14:textId="27B9C257" w:rsidR="00240A42" w:rsidRPr="00243AA7" w:rsidRDefault="00CB475B" w:rsidP="00282B6C">
      <w:pPr>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Going further than Lithuanian case law, o</w:t>
      </w:r>
      <w:r w:rsidR="00240A42" w:rsidRPr="00243AA7">
        <w:rPr>
          <w:rFonts w:ascii="Times New Roman" w:hAnsi="Times New Roman" w:cs="Times New Roman"/>
          <w:color w:val="4472C4" w:themeColor="accent1"/>
          <w:sz w:val="24"/>
          <w:szCs w:val="24"/>
        </w:rPr>
        <w:t xml:space="preserve">ne jurisdictional difference in intra-EU cases and cases involving third countries could be noted from the recent CJEU judgement in </w:t>
      </w:r>
      <w:r w:rsidR="00240A42" w:rsidRPr="00243AA7">
        <w:rPr>
          <w:rFonts w:ascii="Times New Roman" w:hAnsi="Times New Roman" w:cs="Times New Roman"/>
          <w:i/>
          <w:iCs/>
          <w:color w:val="4472C4" w:themeColor="accent1"/>
          <w:sz w:val="24"/>
          <w:szCs w:val="24"/>
        </w:rPr>
        <w:t>CC</w:t>
      </w:r>
      <w:r w:rsidR="00240A42" w:rsidRPr="00243AA7">
        <w:rPr>
          <w:rFonts w:ascii="Times New Roman" w:hAnsi="Times New Roman" w:cs="Times New Roman"/>
          <w:color w:val="4472C4" w:themeColor="accent1"/>
          <w:sz w:val="24"/>
          <w:szCs w:val="24"/>
        </w:rPr>
        <w:t xml:space="preserve"> (Case C-572/21)</w:t>
      </w:r>
      <w:r>
        <w:rPr>
          <w:rFonts w:ascii="Times New Roman" w:hAnsi="Times New Roman" w:cs="Times New Roman"/>
          <w:color w:val="4472C4" w:themeColor="accent1"/>
          <w:sz w:val="24"/>
          <w:szCs w:val="24"/>
        </w:rPr>
        <w:t>.</w:t>
      </w:r>
      <w:r w:rsidR="00240A42" w:rsidRPr="00243AA7">
        <w:rPr>
          <w:rFonts w:ascii="Times New Roman" w:hAnsi="Times New Roman" w:cs="Times New Roman"/>
          <w:color w:val="4472C4" w:themeColor="accent1"/>
          <w:sz w:val="24"/>
          <w:szCs w:val="24"/>
        </w:rPr>
        <w:t xml:space="preserve"> </w:t>
      </w:r>
      <w:r>
        <w:rPr>
          <w:rFonts w:ascii="Times New Roman" w:hAnsi="Times New Roman" w:cs="Times New Roman"/>
          <w:color w:val="4472C4" w:themeColor="accent1"/>
          <w:sz w:val="24"/>
          <w:szCs w:val="24"/>
        </w:rPr>
        <w:t>In this case,</w:t>
      </w:r>
      <w:r w:rsidR="00240A42" w:rsidRPr="00243AA7">
        <w:rPr>
          <w:rFonts w:ascii="Times New Roman" w:hAnsi="Times New Roman" w:cs="Times New Roman"/>
          <w:color w:val="4472C4" w:themeColor="accent1"/>
          <w:sz w:val="24"/>
          <w:szCs w:val="24"/>
        </w:rPr>
        <w:t xml:space="preserve"> the dispute on parental responsibilities </w:t>
      </w:r>
      <w:r>
        <w:rPr>
          <w:rFonts w:ascii="Times New Roman" w:hAnsi="Times New Roman" w:cs="Times New Roman"/>
          <w:color w:val="4472C4" w:themeColor="accent1"/>
          <w:sz w:val="24"/>
          <w:szCs w:val="24"/>
        </w:rPr>
        <w:t>concerned</w:t>
      </w:r>
      <w:r w:rsidR="00240A42" w:rsidRPr="00243AA7">
        <w:rPr>
          <w:rFonts w:ascii="Times New Roman" w:hAnsi="Times New Roman" w:cs="Times New Roman"/>
          <w:color w:val="4472C4" w:themeColor="accent1"/>
          <w:sz w:val="24"/>
          <w:szCs w:val="24"/>
        </w:rPr>
        <w:t xml:space="preserve"> a child who</w:t>
      </w:r>
      <w:r>
        <w:rPr>
          <w:rFonts w:ascii="Times New Roman" w:hAnsi="Times New Roman" w:cs="Times New Roman"/>
          <w:color w:val="4472C4" w:themeColor="accent1"/>
          <w:sz w:val="24"/>
          <w:szCs w:val="24"/>
        </w:rPr>
        <w:t>,</w:t>
      </w:r>
      <w:r w:rsidR="00240A42" w:rsidRPr="00243AA7">
        <w:rPr>
          <w:rFonts w:ascii="Times New Roman" w:hAnsi="Times New Roman" w:cs="Times New Roman"/>
          <w:color w:val="4472C4" w:themeColor="accent1"/>
          <w:sz w:val="24"/>
          <w:szCs w:val="24"/>
        </w:rPr>
        <w:t xml:space="preserve"> during the proceedings</w:t>
      </w:r>
      <w:r>
        <w:rPr>
          <w:rFonts w:ascii="Times New Roman" w:hAnsi="Times New Roman" w:cs="Times New Roman"/>
          <w:color w:val="4472C4" w:themeColor="accent1"/>
          <w:sz w:val="24"/>
          <w:szCs w:val="24"/>
        </w:rPr>
        <w:t>,</w:t>
      </w:r>
      <w:r w:rsidR="00240A42" w:rsidRPr="00243AA7">
        <w:rPr>
          <w:rFonts w:ascii="Times New Roman" w:hAnsi="Times New Roman" w:cs="Times New Roman"/>
          <w:color w:val="4472C4" w:themeColor="accent1"/>
          <w:sz w:val="24"/>
          <w:szCs w:val="24"/>
        </w:rPr>
        <w:t xml:space="preserve"> transferred his habitual residence </w:t>
      </w:r>
      <w:r w:rsidR="00243AA7" w:rsidRPr="00243AA7">
        <w:rPr>
          <w:rFonts w:ascii="Times New Roman" w:hAnsi="Times New Roman" w:cs="Times New Roman"/>
          <w:color w:val="4472C4" w:themeColor="accent1"/>
          <w:sz w:val="24"/>
          <w:szCs w:val="24"/>
        </w:rPr>
        <w:t xml:space="preserve">from Sweden </w:t>
      </w:r>
      <w:r w:rsidR="00240A42" w:rsidRPr="00243AA7">
        <w:rPr>
          <w:rFonts w:ascii="Times New Roman" w:hAnsi="Times New Roman" w:cs="Times New Roman"/>
          <w:color w:val="4472C4" w:themeColor="accent1"/>
          <w:sz w:val="24"/>
          <w:szCs w:val="24"/>
        </w:rPr>
        <w:t xml:space="preserve">to Russia. </w:t>
      </w:r>
      <w:r>
        <w:rPr>
          <w:rFonts w:ascii="Times New Roman" w:hAnsi="Times New Roman" w:cs="Times New Roman"/>
          <w:color w:val="4472C4" w:themeColor="accent1"/>
          <w:sz w:val="24"/>
          <w:szCs w:val="24"/>
        </w:rPr>
        <w:t>The CJEU reminded that i</w:t>
      </w:r>
      <w:r w:rsidR="00240A42" w:rsidRPr="00243AA7">
        <w:rPr>
          <w:rFonts w:ascii="Times New Roman" w:hAnsi="Times New Roman" w:cs="Times New Roman"/>
          <w:color w:val="4472C4" w:themeColor="accent1"/>
          <w:sz w:val="24"/>
          <w:szCs w:val="24"/>
        </w:rPr>
        <w:t xml:space="preserve">n </w:t>
      </w:r>
      <w:r>
        <w:rPr>
          <w:rFonts w:ascii="Times New Roman" w:hAnsi="Times New Roman" w:cs="Times New Roman"/>
          <w:color w:val="4472C4" w:themeColor="accent1"/>
          <w:sz w:val="24"/>
          <w:szCs w:val="24"/>
        </w:rPr>
        <w:t>intra-</w:t>
      </w:r>
      <w:r w:rsidR="00240A42" w:rsidRPr="00243AA7">
        <w:rPr>
          <w:rFonts w:ascii="Times New Roman" w:hAnsi="Times New Roman" w:cs="Times New Roman"/>
          <w:color w:val="4472C4" w:themeColor="accent1"/>
          <w:sz w:val="24"/>
          <w:szCs w:val="24"/>
        </w:rPr>
        <w:t xml:space="preserve">EU cases, under Article 8(1) of the Brussels </w:t>
      </w:r>
      <w:proofErr w:type="spellStart"/>
      <w:r w:rsidR="00240A42" w:rsidRPr="00243AA7">
        <w:rPr>
          <w:rFonts w:ascii="Times New Roman" w:hAnsi="Times New Roman" w:cs="Times New Roman"/>
          <w:color w:val="4472C4" w:themeColor="accent1"/>
          <w:sz w:val="24"/>
          <w:szCs w:val="24"/>
        </w:rPr>
        <w:t>IIa</w:t>
      </w:r>
      <w:proofErr w:type="spellEnd"/>
      <w:r w:rsidR="00240A42" w:rsidRPr="00243AA7">
        <w:rPr>
          <w:rFonts w:ascii="Times New Roman" w:hAnsi="Times New Roman" w:cs="Times New Roman"/>
          <w:color w:val="4472C4" w:themeColor="accent1"/>
          <w:sz w:val="24"/>
          <w:szCs w:val="24"/>
        </w:rPr>
        <w:t xml:space="preserve"> Regulation</w:t>
      </w:r>
      <w:r w:rsidR="00513FB4">
        <w:rPr>
          <w:rFonts w:ascii="Times New Roman" w:hAnsi="Times New Roman" w:cs="Times New Roman"/>
          <w:color w:val="4472C4" w:themeColor="accent1"/>
          <w:sz w:val="24"/>
          <w:szCs w:val="24"/>
        </w:rPr>
        <w:t xml:space="preserve"> (Article 7 of the Brussels IIter)</w:t>
      </w:r>
      <w:r w:rsidR="00240A42" w:rsidRPr="00243AA7">
        <w:rPr>
          <w:rFonts w:ascii="Times New Roman" w:hAnsi="Times New Roman" w:cs="Times New Roman"/>
          <w:color w:val="4472C4" w:themeColor="accent1"/>
          <w:sz w:val="24"/>
          <w:szCs w:val="24"/>
        </w:rPr>
        <w:t xml:space="preserve">, jurisdiction in matters of parental responsibility is conferred on the courts of the Member State in which the child is habitually resident at the time the court is </w:t>
      </w:r>
      <w:proofErr w:type="spellStart"/>
      <w:r w:rsidR="00240A42" w:rsidRPr="00243AA7">
        <w:rPr>
          <w:rFonts w:ascii="Times New Roman" w:hAnsi="Times New Roman" w:cs="Times New Roman"/>
          <w:color w:val="4472C4" w:themeColor="accent1"/>
          <w:sz w:val="24"/>
          <w:szCs w:val="24"/>
        </w:rPr>
        <w:t>seised</w:t>
      </w:r>
      <w:proofErr w:type="spellEnd"/>
      <w:r w:rsidR="00240A42" w:rsidRPr="00243AA7">
        <w:rPr>
          <w:rFonts w:ascii="Times New Roman" w:hAnsi="Times New Roman" w:cs="Times New Roman"/>
          <w:color w:val="4472C4" w:themeColor="accent1"/>
          <w:sz w:val="24"/>
          <w:szCs w:val="24"/>
        </w:rPr>
        <w:t>. This jurisdiction is retained throughout the proceedings</w:t>
      </w:r>
      <w:r w:rsidR="00513FB4">
        <w:rPr>
          <w:rFonts w:ascii="Times New Roman" w:hAnsi="Times New Roman" w:cs="Times New Roman"/>
          <w:color w:val="4472C4" w:themeColor="accent1"/>
          <w:sz w:val="24"/>
          <w:szCs w:val="24"/>
        </w:rPr>
        <w:t xml:space="preserve"> (</w:t>
      </w:r>
      <w:proofErr w:type="spellStart"/>
      <w:r w:rsidR="00513FB4" w:rsidRPr="00513FB4">
        <w:rPr>
          <w:rFonts w:ascii="Times New Roman" w:hAnsi="Times New Roman" w:cs="Times New Roman"/>
          <w:i/>
          <w:iCs/>
          <w:color w:val="4472C4" w:themeColor="accent1"/>
          <w:sz w:val="24"/>
          <w:szCs w:val="24"/>
        </w:rPr>
        <w:t>perpetuatio</w:t>
      </w:r>
      <w:proofErr w:type="spellEnd"/>
      <w:r w:rsidR="00513FB4" w:rsidRPr="00513FB4">
        <w:rPr>
          <w:rFonts w:ascii="Times New Roman" w:hAnsi="Times New Roman" w:cs="Times New Roman"/>
          <w:i/>
          <w:iCs/>
          <w:color w:val="4472C4" w:themeColor="accent1"/>
          <w:sz w:val="24"/>
          <w:szCs w:val="24"/>
        </w:rPr>
        <w:t xml:space="preserve"> </w:t>
      </w:r>
      <w:proofErr w:type="spellStart"/>
      <w:r w:rsidR="00513FB4" w:rsidRPr="00513FB4">
        <w:rPr>
          <w:rFonts w:ascii="Times New Roman" w:hAnsi="Times New Roman" w:cs="Times New Roman"/>
          <w:i/>
          <w:iCs/>
          <w:color w:val="4472C4" w:themeColor="accent1"/>
          <w:sz w:val="24"/>
          <w:szCs w:val="24"/>
        </w:rPr>
        <w:t>fori</w:t>
      </w:r>
      <w:proofErr w:type="spellEnd"/>
      <w:r w:rsidR="00513FB4" w:rsidRPr="00513FB4">
        <w:rPr>
          <w:rFonts w:ascii="Times New Roman" w:hAnsi="Times New Roman" w:cs="Times New Roman"/>
          <w:color w:val="4472C4" w:themeColor="accent1"/>
          <w:sz w:val="24"/>
          <w:szCs w:val="24"/>
        </w:rPr>
        <w:t xml:space="preserve"> rule</w:t>
      </w:r>
      <w:r w:rsidR="00513FB4">
        <w:rPr>
          <w:rFonts w:ascii="Times New Roman" w:hAnsi="Times New Roman" w:cs="Times New Roman"/>
          <w:color w:val="4472C4" w:themeColor="accent1"/>
          <w:sz w:val="24"/>
          <w:szCs w:val="24"/>
        </w:rPr>
        <w:t>, that</w:t>
      </w:r>
      <w:r w:rsidR="00513FB4" w:rsidRPr="00513FB4">
        <w:rPr>
          <w:rFonts w:ascii="Times New Roman" w:hAnsi="Times New Roman" w:cs="Times New Roman"/>
          <w:color w:val="4472C4" w:themeColor="accent1"/>
          <w:sz w:val="24"/>
          <w:szCs w:val="24"/>
        </w:rPr>
        <w:t xml:space="preserve"> court does not lose jurisdiction even if there is a change in the place of habitual residence of the child concerned during the proceedings</w:t>
      </w:r>
      <w:r w:rsidR="00513FB4">
        <w:rPr>
          <w:rFonts w:ascii="Times New Roman" w:hAnsi="Times New Roman" w:cs="Times New Roman"/>
          <w:color w:val="4472C4" w:themeColor="accent1"/>
          <w:sz w:val="24"/>
          <w:szCs w:val="24"/>
        </w:rPr>
        <w:t>)</w:t>
      </w:r>
      <w:r w:rsidR="00240A42" w:rsidRPr="00243AA7">
        <w:rPr>
          <w:rFonts w:ascii="Times New Roman" w:hAnsi="Times New Roman" w:cs="Times New Roman"/>
          <w:color w:val="4472C4" w:themeColor="accent1"/>
          <w:sz w:val="24"/>
          <w:szCs w:val="24"/>
        </w:rPr>
        <w:t xml:space="preserve">. However, this is not so when a child legally changes his or her habitual residence and moves to a third state. In </w:t>
      </w:r>
      <w:r w:rsidR="00240A42" w:rsidRPr="00243AA7">
        <w:rPr>
          <w:rFonts w:ascii="Times New Roman" w:hAnsi="Times New Roman" w:cs="Times New Roman"/>
          <w:i/>
          <w:iCs/>
          <w:color w:val="4472C4" w:themeColor="accent1"/>
          <w:sz w:val="24"/>
          <w:szCs w:val="24"/>
        </w:rPr>
        <w:t>CC</w:t>
      </w:r>
      <w:r>
        <w:rPr>
          <w:rFonts w:ascii="Times New Roman" w:hAnsi="Times New Roman" w:cs="Times New Roman"/>
          <w:i/>
          <w:iCs/>
          <w:color w:val="4472C4" w:themeColor="accent1"/>
          <w:sz w:val="24"/>
          <w:szCs w:val="24"/>
        </w:rPr>
        <w:t>,</w:t>
      </w:r>
      <w:r w:rsidR="00240A42" w:rsidRPr="00243AA7">
        <w:rPr>
          <w:rFonts w:ascii="Times New Roman" w:hAnsi="Times New Roman" w:cs="Times New Roman"/>
          <w:color w:val="4472C4" w:themeColor="accent1"/>
          <w:sz w:val="24"/>
          <w:szCs w:val="24"/>
        </w:rPr>
        <w:t xml:space="preserve"> the CJEU ruled that Article 8(1) of the Brussels </w:t>
      </w:r>
      <w:proofErr w:type="spellStart"/>
      <w:r w:rsidR="00240A42" w:rsidRPr="00243AA7">
        <w:rPr>
          <w:rFonts w:ascii="Times New Roman" w:hAnsi="Times New Roman" w:cs="Times New Roman"/>
          <w:color w:val="4472C4" w:themeColor="accent1"/>
          <w:sz w:val="24"/>
          <w:szCs w:val="24"/>
        </w:rPr>
        <w:t>IIa</w:t>
      </w:r>
      <w:proofErr w:type="spellEnd"/>
      <w:r w:rsidR="00240A42" w:rsidRPr="00243AA7">
        <w:rPr>
          <w:rFonts w:ascii="Times New Roman" w:hAnsi="Times New Roman" w:cs="Times New Roman"/>
          <w:color w:val="4472C4" w:themeColor="accent1"/>
          <w:sz w:val="24"/>
          <w:szCs w:val="24"/>
        </w:rPr>
        <w:t xml:space="preserve"> Regulation, read in conjunction with Article 61(a) thereof, must be interpreted as meaning that a court of a Member State that is hearing a dispute relating to parental responsibility does not retain jurisdiction to rule on that dispute under Article 8(1) of that regulation where the habitual residence of the child in question has been lawfully transferred, during the proceedings, to the territory of a third State that is a party to the 1996 Hague Convention.</w:t>
      </w:r>
      <w:r w:rsidR="00243AA7" w:rsidRPr="00243AA7">
        <w:rPr>
          <w:rFonts w:ascii="Times New Roman" w:hAnsi="Times New Roman" w:cs="Times New Roman"/>
          <w:color w:val="4472C4" w:themeColor="accent1"/>
          <w:sz w:val="24"/>
          <w:szCs w:val="24"/>
        </w:rPr>
        <w:t xml:space="preserve"> </w:t>
      </w:r>
    </w:p>
    <w:p w14:paraId="299E765D" w14:textId="77777777" w:rsidR="008A5DAA" w:rsidRPr="008A5DAA" w:rsidRDefault="008A5DAA" w:rsidP="008A5DAA">
      <w:pPr>
        <w:jc w:val="both"/>
        <w:rPr>
          <w:rFonts w:ascii="Times New Roman" w:hAnsi="Times New Roman" w:cs="Times New Roman"/>
        </w:rPr>
      </w:pPr>
    </w:p>
    <w:p w14:paraId="6D81C809" w14:textId="70F6D72F" w:rsidR="008A76E4" w:rsidRPr="00C544E3" w:rsidRDefault="008A76E4" w:rsidP="008A76E4">
      <w:pPr>
        <w:pStyle w:val="Heading2"/>
        <w:jc w:val="both"/>
      </w:pPr>
      <w:bookmarkStart w:id="7" w:name="_Toc122349477"/>
      <w:r w:rsidRPr="00C544E3">
        <w:t>Applicable law</w:t>
      </w:r>
      <w:bookmarkEnd w:id="7"/>
    </w:p>
    <w:p w14:paraId="48AA2959" w14:textId="77777777" w:rsidR="008A76E4" w:rsidRPr="00C544E3" w:rsidRDefault="008A76E4" w:rsidP="008A76E4">
      <w:pPr>
        <w:jc w:val="both"/>
      </w:pPr>
    </w:p>
    <w:p w14:paraId="4147C817" w14:textId="0E3730EC" w:rsidR="0021476E" w:rsidRPr="0021476E" w:rsidRDefault="000E7F0A" w:rsidP="0021476E">
      <w:pPr>
        <w:pStyle w:val="ListParagraph"/>
        <w:numPr>
          <w:ilvl w:val="0"/>
          <w:numId w:val="8"/>
        </w:numPr>
        <w:jc w:val="both"/>
        <w:rPr>
          <w:rFonts w:ascii="Times New Roman" w:hAnsi="Times New Roman" w:cs="Times New Roman"/>
        </w:rPr>
      </w:pPr>
      <w:r w:rsidRPr="00C544E3">
        <w:rPr>
          <w:rFonts w:ascii="Times New Roman" w:hAnsi="Times New Roman" w:cs="Times New Roman"/>
        </w:rPr>
        <w:t xml:space="preserve">Do the courts of your country apply applicable law rules </w:t>
      </w:r>
      <w:r w:rsidRPr="00C544E3">
        <w:rPr>
          <w:rFonts w:ascii="Times New Roman" w:hAnsi="Times New Roman" w:cs="Times New Roman"/>
          <w:i/>
          <w:iCs/>
        </w:rPr>
        <w:t>ex officio</w:t>
      </w:r>
      <w:r w:rsidRPr="00C544E3">
        <w:rPr>
          <w:rFonts w:ascii="Times New Roman" w:hAnsi="Times New Roman" w:cs="Times New Roman"/>
        </w:rPr>
        <w:t xml:space="preserve"> or only if raised by the parties?</w:t>
      </w:r>
      <w:r w:rsidR="007F48D6" w:rsidRPr="00C544E3">
        <w:rPr>
          <w:rFonts w:ascii="Times New Roman" w:hAnsi="Times New Roman" w:cs="Times New Roman"/>
        </w:rPr>
        <w:t xml:space="preserve"> </w:t>
      </w:r>
    </w:p>
    <w:p w14:paraId="143D08D6" w14:textId="77777777" w:rsidR="00243AA7" w:rsidRDefault="00243AA7" w:rsidP="0021476E">
      <w:pPr>
        <w:jc w:val="both"/>
        <w:rPr>
          <w:rFonts w:ascii="Times New Roman" w:hAnsi="Times New Roman" w:cs="Times New Roman"/>
          <w:color w:val="4472C4" w:themeColor="accent1"/>
        </w:rPr>
      </w:pPr>
    </w:p>
    <w:p w14:paraId="010CEB80" w14:textId="7A43905C" w:rsidR="0021476E" w:rsidRPr="00243AA7" w:rsidRDefault="0021476E" w:rsidP="0021476E">
      <w:pPr>
        <w:jc w:val="both"/>
        <w:rPr>
          <w:rFonts w:ascii="Times New Roman" w:hAnsi="Times New Roman" w:cs="Times New Roman"/>
          <w:color w:val="4472C4" w:themeColor="accent1"/>
          <w:sz w:val="24"/>
          <w:szCs w:val="24"/>
        </w:rPr>
      </w:pPr>
      <w:r w:rsidRPr="00243AA7">
        <w:rPr>
          <w:rFonts w:ascii="Times New Roman" w:hAnsi="Times New Roman" w:cs="Times New Roman"/>
          <w:color w:val="4472C4" w:themeColor="accent1"/>
          <w:sz w:val="24"/>
          <w:szCs w:val="24"/>
        </w:rPr>
        <w:t xml:space="preserve">Brussels </w:t>
      </w:r>
      <w:proofErr w:type="spellStart"/>
      <w:r w:rsidRPr="00243AA7">
        <w:rPr>
          <w:rFonts w:ascii="Times New Roman" w:hAnsi="Times New Roman" w:cs="Times New Roman"/>
          <w:color w:val="4472C4" w:themeColor="accent1"/>
          <w:sz w:val="24"/>
          <w:szCs w:val="24"/>
        </w:rPr>
        <w:t>IIa</w:t>
      </w:r>
      <w:proofErr w:type="spellEnd"/>
      <w:r w:rsidRPr="00243AA7">
        <w:rPr>
          <w:rFonts w:ascii="Times New Roman" w:hAnsi="Times New Roman" w:cs="Times New Roman"/>
          <w:color w:val="4472C4" w:themeColor="accent1"/>
          <w:sz w:val="24"/>
          <w:szCs w:val="24"/>
        </w:rPr>
        <w:t xml:space="preserve"> (and Brussels IIter) Regulation only provides for rules concerning jurisdiction, recognition and enforcement of decisions in parental responsibility matters. However, it contains no rules as to the applicable law. The applicable law is regulated by an international legal instrument – the 1996 Hague Convention. Since 2016, when Italy ratified it, all EU Member States are </w:t>
      </w:r>
      <w:r w:rsidR="00383229">
        <w:rPr>
          <w:rFonts w:ascii="Times New Roman" w:hAnsi="Times New Roman" w:cs="Times New Roman"/>
          <w:color w:val="4472C4" w:themeColor="accent1"/>
          <w:sz w:val="24"/>
          <w:szCs w:val="24"/>
        </w:rPr>
        <w:t xml:space="preserve">the </w:t>
      </w:r>
      <w:r w:rsidRPr="00243AA7">
        <w:rPr>
          <w:rFonts w:ascii="Times New Roman" w:hAnsi="Times New Roman" w:cs="Times New Roman"/>
          <w:color w:val="4472C4" w:themeColor="accent1"/>
          <w:sz w:val="24"/>
          <w:szCs w:val="24"/>
        </w:rPr>
        <w:t>Contracting States of the 1996 Hague Convention.</w:t>
      </w:r>
    </w:p>
    <w:p w14:paraId="4014F5B7" w14:textId="2F5A8DBD" w:rsidR="000C5019" w:rsidRDefault="000C5019" w:rsidP="000C5019">
      <w:pPr>
        <w:jc w:val="both"/>
        <w:rPr>
          <w:rFonts w:ascii="Times New Roman" w:hAnsi="Times New Roman" w:cs="Times New Roman"/>
          <w:color w:val="4472C4" w:themeColor="accent1"/>
          <w:sz w:val="24"/>
          <w:szCs w:val="24"/>
        </w:rPr>
      </w:pPr>
      <w:r w:rsidRPr="00243AA7">
        <w:rPr>
          <w:rFonts w:ascii="Times New Roman" w:hAnsi="Times New Roman" w:cs="Times New Roman"/>
          <w:color w:val="4472C4" w:themeColor="accent1"/>
          <w:sz w:val="24"/>
          <w:szCs w:val="24"/>
        </w:rPr>
        <w:t>Under Article 15</w:t>
      </w:r>
      <w:r w:rsidR="00CB475B">
        <w:rPr>
          <w:rFonts w:ascii="Times New Roman" w:hAnsi="Times New Roman" w:cs="Times New Roman"/>
          <w:color w:val="4472C4" w:themeColor="accent1"/>
          <w:sz w:val="24"/>
          <w:szCs w:val="24"/>
        </w:rPr>
        <w:t xml:space="preserve"> </w:t>
      </w:r>
      <w:r w:rsidR="00CB475B" w:rsidRPr="00243AA7">
        <w:rPr>
          <w:rFonts w:ascii="Times New Roman" w:hAnsi="Times New Roman" w:cs="Times New Roman"/>
          <w:color w:val="4472C4" w:themeColor="accent1"/>
          <w:sz w:val="24"/>
          <w:szCs w:val="24"/>
        </w:rPr>
        <w:t>of the 1996 Hague Convention</w:t>
      </w:r>
      <w:r w:rsidRPr="00243AA7">
        <w:rPr>
          <w:rFonts w:ascii="Times New Roman" w:hAnsi="Times New Roman" w:cs="Times New Roman"/>
          <w:color w:val="4472C4" w:themeColor="accent1"/>
          <w:sz w:val="24"/>
          <w:szCs w:val="24"/>
        </w:rPr>
        <w:t xml:space="preserve">, </w:t>
      </w:r>
      <w:r w:rsidR="00B442FB">
        <w:rPr>
          <w:rFonts w:ascii="Times New Roman" w:hAnsi="Times New Roman" w:cs="Times New Roman"/>
          <w:color w:val="4472C4" w:themeColor="accent1"/>
          <w:sz w:val="24"/>
          <w:szCs w:val="24"/>
        </w:rPr>
        <w:t xml:space="preserve">the </w:t>
      </w:r>
      <w:r w:rsidRPr="00243AA7">
        <w:rPr>
          <w:rFonts w:ascii="Times New Roman" w:hAnsi="Times New Roman" w:cs="Times New Roman"/>
          <w:color w:val="4472C4" w:themeColor="accent1"/>
          <w:sz w:val="24"/>
          <w:szCs w:val="24"/>
        </w:rPr>
        <w:t xml:space="preserve">application of </w:t>
      </w:r>
      <w:r w:rsidRPr="00383229">
        <w:rPr>
          <w:rFonts w:ascii="Times New Roman" w:hAnsi="Times New Roman" w:cs="Times New Roman"/>
          <w:i/>
          <w:iCs/>
          <w:color w:val="4472C4" w:themeColor="accent1"/>
          <w:sz w:val="24"/>
          <w:szCs w:val="24"/>
        </w:rPr>
        <w:t xml:space="preserve">lex </w:t>
      </w:r>
      <w:proofErr w:type="spellStart"/>
      <w:r w:rsidRPr="00383229">
        <w:rPr>
          <w:rFonts w:ascii="Times New Roman" w:hAnsi="Times New Roman" w:cs="Times New Roman"/>
          <w:i/>
          <w:iCs/>
          <w:color w:val="4472C4" w:themeColor="accent1"/>
          <w:sz w:val="24"/>
          <w:szCs w:val="24"/>
        </w:rPr>
        <w:t>fori</w:t>
      </w:r>
      <w:proofErr w:type="spellEnd"/>
      <w:r w:rsidRPr="00243AA7">
        <w:rPr>
          <w:rFonts w:ascii="Times New Roman" w:hAnsi="Times New Roman" w:cs="Times New Roman"/>
          <w:color w:val="4472C4" w:themeColor="accent1"/>
          <w:sz w:val="24"/>
          <w:szCs w:val="24"/>
        </w:rPr>
        <w:t xml:space="preserve"> is the general rule. </w:t>
      </w:r>
      <w:r w:rsidR="0021476E" w:rsidRPr="00243AA7">
        <w:rPr>
          <w:rFonts w:ascii="Times New Roman" w:hAnsi="Times New Roman" w:cs="Times New Roman"/>
          <w:color w:val="4472C4" w:themeColor="accent1"/>
          <w:sz w:val="24"/>
          <w:szCs w:val="24"/>
        </w:rPr>
        <w:t>Only i</w:t>
      </w:r>
      <w:r w:rsidRPr="00243AA7">
        <w:rPr>
          <w:rFonts w:ascii="Times New Roman" w:hAnsi="Times New Roman" w:cs="Times New Roman"/>
          <w:color w:val="4472C4" w:themeColor="accent1"/>
          <w:sz w:val="24"/>
          <w:szCs w:val="24"/>
        </w:rPr>
        <w:t xml:space="preserve">n exceptional cases, when protection of the person or the property of the child so requires, the court may also take into consideration the law of another </w:t>
      </w:r>
      <w:r w:rsidR="00383229">
        <w:rPr>
          <w:rFonts w:ascii="Times New Roman" w:hAnsi="Times New Roman" w:cs="Times New Roman"/>
          <w:color w:val="4472C4" w:themeColor="accent1"/>
          <w:sz w:val="24"/>
          <w:szCs w:val="24"/>
        </w:rPr>
        <w:t>S</w:t>
      </w:r>
      <w:r w:rsidRPr="00243AA7">
        <w:rPr>
          <w:rFonts w:ascii="Times New Roman" w:hAnsi="Times New Roman" w:cs="Times New Roman"/>
          <w:color w:val="4472C4" w:themeColor="accent1"/>
          <w:sz w:val="24"/>
          <w:szCs w:val="24"/>
        </w:rPr>
        <w:t>tate, with which the situation has a substantial connection.</w:t>
      </w:r>
      <w:r w:rsidR="0021476E" w:rsidRPr="00243AA7">
        <w:rPr>
          <w:rFonts w:ascii="Times New Roman" w:hAnsi="Times New Roman" w:cs="Times New Roman"/>
          <w:color w:val="4472C4" w:themeColor="accent1"/>
          <w:sz w:val="24"/>
          <w:szCs w:val="24"/>
        </w:rPr>
        <w:t xml:space="preserve"> Such a link between jurisdiction and applicable law simplifies the </w:t>
      </w:r>
      <w:r w:rsidR="00243AA7" w:rsidRPr="00243AA7">
        <w:rPr>
          <w:rFonts w:ascii="Times New Roman" w:hAnsi="Times New Roman" w:cs="Times New Roman"/>
          <w:color w:val="4472C4" w:themeColor="accent1"/>
          <w:sz w:val="24"/>
          <w:szCs w:val="24"/>
        </w:rPr>
        <w:t>determination of applicable</w:t>
      </w:r>
      <w:r w:rsidR="0021476E" w:rsidRPr="00243AA7">
        <w:rPr>
          <w:rFonts w:ascii="Times New Roman" w:hAnsi="Times New Roman" w:cs="Times New Roman"/>
          <w:color w:val="4472C4" w:themeColor="accent1"/>
          <w:sz w:val="24"/>
          <w:szCs w:val="24"/>
        </w:rPr>
        <w:t xml:space="preserve"> law</w:t>
      </w:r>
      <w:r w:rsidR="00FA0FF7">
        <w:rPr>
          <w:rFonts w:ascii="Times New Roman" w:hAnsi="Times New Roman" w:cs="Times New Roman"/>
          <w:color w:val="4472C4" w:themeColor="accent1"/>
          <w:sz w:val="24"/>
          <w:szCs w:val="24"/>
        </w:rPr>
        <w:t xml:space="preserve"> </w:t>
      </w:r>
      <w:r w:rsidR="00383229">
        <w:rPr>
          <w:rFonts w:ascii="Times New Roman" w:hAnsi="Times New Roman" w:cs="Times New Roman"/>
          <w:color w:val="4472C4" w:themeColor="accent1"/>
          <w:sz w:val="24"/>
          <w:szCs w:val="24"/>
        </w:rPr>
        <w:t>as</w:t>
      </w:r>
      <w:r w:rsidR="00FA0FF7">
        <w:rPr>
          <w:rFonts w:ascii="Times New Roman" w:hAnsi="Times New Roman" w:cs="Times New Roman"/>
          <w:color w:val="4472C4" w:themeColor="accent1"/>
          <w:sz w:val="24"/>
          <w:szCs w:val="24"/>
        </w:rPr>
        <w:t xml:space="preserve"> establishing jurisdiction in a country will in most cases mean that the law of that </w:t>
      </w:r>
      <w:r w:rsidR="00383229">
        <w:rPr>
          <w:rFonts w:ascii="Times New Roman" w:hAnsi="Times New Roman" w:cs="Times New Roman"/>
          <w:color w:val="4472C4" w:themeColor="accent1"/>
          <w:sz w:val="24"/>
          <w:szCs w:val="24"/>
        </w:rPr>
        <w:t>S</w:t>
      </w:r>
      <w:r w:rsidR="00FA0FF7">
        <w:rPr>
          <w:rFonts w:ascii="Times New Roman" w:hAnsi="Times New Roman" w:cs="Times New Roman"/>
          <w:color w:val="4472C4" w:themeColor="accent1"/>
          <w:sz w:val="24"/>
          <w:szCs w:val="24"/>
        </w:rPr>
        <w:t>tate will be applied to parental responsibilities</w:t>
      </w:r>
      <w:r w:rsidR="0021476E" w:rsidRPr="00243AA7">
        <w:rPr>
          <w:rFonts w:ascii="Times New Roman" w:hAnsi="Times New Roman" w:cs="Times New Roman"/>
          <w:color w:val="4472C4" w:themeColor="accent1"/>
          <w:sz w:val="24"/>
          <w:szCs w:val="24"/>
        </w:rPr>
        <w:t xml:space="preserve">. </w:t>
      </w:r>
      <w:r w:rsidR="00EF7B49">
        <w:rPr>
          <w:rFonts w:ascii="Times New Roman" w:hAnsi="Times New Roman" w:cs="Times New Roman"/>
          <w:color w:val="4472C4" w:themeColor="accent1"/>
          <w:sz w:val="24"/>
          <w:szCs w:val="24"/>
        </w:rPr>
        <w:t>In all cases of parental responsibilities that I came across, Lithuanian law was applied.</w:t>
      </w:r>
    </w:p>
    <w:p w14:paraId="754C699F" w14:textId="0F9487A3" w:rsidR="00B442FB" w:rsidRDefault="00FA0FF7" w:rsidP="000C5019">
      <w:pPr>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lastRenderedPageBreak/>
        <w:t>See also the answer to question 18.</w:t>
      </w:r>
    </w:p>
    <w:p w14:paraId="0DD37B3F" w14:textId="58B66F68" w:rsidR="000724AE" w:rsidRPr="00243AA7" w:rsidRDefault="000724AE" w:rsidP="000C5019">
      <w:pPr>
        <w:jc w:val="both"/>
        <w:rPr>
          <w:rFonts w:ascii="Times New Roman" w:hAnsi="Times New Roman" w:cs="Times New Roman"/>
          <w:color w:val="4472C4" w:themeColor="accent1"/>
          <w:sz w:val="24"/>
          <w:szCs w:val="24"/>
        </w:rPr>
      </w:pPr>
      <w:r w:rsidRPr="00243AA7">
        <w:rPr>
          <w:rFonts w:ascii="Times New Roman" w:hAnsi="Times New Roman" w:cs="Times New Roman"/>
          <w:color w:val="4472C4" w:themeColor="accent1"/>
          <w:sz w:val="24"/>
          <w:szCs w:val="24"/>
        </w:rPr>
        <w:t xml:space="preserve">It can also be noted here that </w:t>
      </w:r>
      <w:r w:rsidR="00CB475B">
        <w:rPr>
          <w:rFonts w:ascii="Times New Roman" w:hAnsi="Times New Roman" w:cs="Times New Roman"/>
          <w:color w:val="4472C4" w:themeColor="accent1"/>
          <w:sz w:val="24"/>
          <w:szCs w:val="24"/>
        </w:rPr>
        <w:t xml:space="preserve">Lithuanian courts not only </w:t>
      </w:r>
      <w:r w:rsidR="00CB475B" w:rsidRPr="00CB475B">
        <w:rPr>
          <w:rFonts w:ascii="Times New Roman" w:hAnsi="Times New Roman" w:cs="Times New Roman"/>
          <w:color w:val="4472C4" w:themeColor="accent1"/>
          <w:sz w:val="24"/>
          <w:szCs w:val="24"/>
        </w:rPr>
        <w:t xml:space="preserve">apply applicable law rules </w:t>
      </w:r>
      <w:r w:rsidR="00CB475B" w:rsidRPr="00CB475B">
        <w:rPr>
          <w:rFonts w:ascii="Times New Roman" w:hAnsi="Times New Roman" w:cs="Times New Roman"/>
          <w:i/>
          <w:iCs/>
          <w:color w:val="4472C4" w:themeColor="accent1"/>
          <w:sz w:val="24"/>
          <w:szCs w:val="24"/>
        </w:rPr>
        <w:t>ex officio</w:t>
      </w:r>
      <w:r w:rsidR="00CB475B" w:rsidRPr="00CB475B">
        <w:rPr>
          <w:rFonts w:ascii="Times New Roman" w:hAnsi="Times New Roman" w:cs="Times New Roman"/>
          <w:color w:val="4472C4" w:themeColor="accent1"/>
          <w:sz w:val="24"/>
          <w:szCs w:val="24"/>
        </w:rPr>
        <w:t xml:space="preserve"> </w:t>
      </w:r>
      <w:r w:rsidR="00CB475B">
        <w:rPr>
          <w:rFonts w:ascii="Times New Roman" w:hAnsi="Times New Roman" w:cs="Times New Roman"/>
          <w:color w:val="4472C4" w:themeColor="accent1"/>
          <w:sz w:val="24"/>
          <w:szCs w:val="24"/>
        </w:rPr>
        <w:t xml:space="preserve">in family cases, but, </w:t>
      </w:r>
      <w:r w:rsidRPr="00243AA7">
        <w:rPr>
          <w:rFonts w:ascii="Times New Roman" w:hAnsi="Times New Roman" w:cs="Times New Roman"/>
          <w:color w:val="4472C4" w:themeColor="accent1"/>
          <w:sz w:val="24"/>
          <w:szCs w:val="24"/>
        </w:rPr>
        <w:t>under the law</w:t>
      </w:r>
      <w:r>
        <w:rPr>
          <w:rFonts w:ascii="Times New Roman" w:hAnsi="Times New Roman" w:cs="Times New Roman"/>
          <w:color w:val="4472C4" w:themeColor="accent1"/>
          <w:sz w:val="24"/>
          <w:szCs w:val="24"/>
        </w:rPr>
        <w:t>,</w:t>
      </w:r>
      <w:r w:rsidRPr="00243AA7">
        <w:rPr>
          <w:rFonts w:ascii="Times New Roman" w:hAnsi="Times New Roman" w:cs="Times New Roman"/>
          <w:color w:val="4472C4" w:themeColor="accent1"/>
          <w:sz w:val="24"/>
          <w:szCs w:val="24"/>
        </w:rPr>
        <w:t xml:space="preserve"> </w:t>
      </w:r>
      <w:r w:rsidR="00CB475B">
        <w:rPr>
          <w:rFonts w:ascii="Times New Roman" w:hAnsi="Times New Roman" w:cs="Times New Roman"/>
          <w:color w:val="4472C4" w:themeColor="accent1"/>
          <w:sz w:val="24"/>
          <w:szCs w:val="24"/>
        </w:rPr>
        <w:t>they</w:t>
      </w:r>
      <w:r w:rsidRPr="00243AA7">
        <w:rPr>
          <w:rFonts w:ascii="Times New Roman" w:hAnsi="Times New Roman" w:cs="Times New Roman"/>
          <w:color w:val="4472C4" w:themeColor="accent1"/>
          <w:sz w:val="24"/>
          <w:szCs w:val="24"/>
        </w:rPr>
        <w:t xml:space="preserve"> should be pro-active in family cases. In line with Article 376 of the Code of Civil Procedure (Role of the Court), the court </w:t>
      </w:r>
      <w:proofErr w:type="spellStart"/>
      <w:r w:rsidRPr="00243AA7">
        <w:rPr>
          <w:rFonts w:ascii="Times New Roman" w:hAnsi="Times New Roman" w:cs="Times New Roman"/>
          <w:color w:val="4472C4" w:themeColor="accent1"/>
          <w:sz w:val="24"/>
          <w:szCs w:val="24"/>
        </w:rPr>
        <w:t>seised</w:t>
      </w:r>
      <w:proofErr w:type="spellEnd"/>
      <w:r w:rsidRPr="00243AA7">
        <w:rPr>
          <w:rFonts w:ascii="Times New Roman" w:hAnsi="Times New Roman" w:cs="Times New Roman"/>
          <w:color w:val="4472C4" w:themeColor="accent1"/>
          <w:sz w:val="24"/>
          <w:szCs w:val="24"/>
        </w:rPr>
        <w:t xml:space="preserve"> of the case has the power to take evidence not relied on by the parties on its own initiative if, in its opinion, it is necessary for a fair determination of the case. The court must take measures to reconcile the parties and to protect the rights and interests of the children. The court may, on its own initiative, grant interim measures of protection, order compensation for damages, substitute one interim measure for another, or revoke interim measures of protection. Furthermore, the court, taking into account the circumstances of the case which form the basis of the claim and which have come to light at the hearing, shall have the right to exceed the claims brought, i.e. it may grant more claims than were brought, and may decide on claims which were not brought but which are directly related to the subject matter of and the grounds for the claim brought. If one of the alternative claims provided for by </w:t>
      </w:r>
      <w:r w:rsidR="00383229">
        <w:rPr>
          <w:rFonts w:ascii="Times New Roman" w:hAnsi="Times New Roman" w:cs="Times New Roman"/>
          <w:color w:val="4472C4" w:themeColor="accent1"/>
          <w:sz w:val="24"/>
          <w:szCs w:val="24"/>
        </w:rPr>
        <w:t xml:space="preserve">the </w:t>
      </w:r>
      <w:r w:rsidRPr="00243AA7">
        <w:rPr>
          <w:rFonts w:ascii="Times New Roman" w:hAnsi="Times New Roman" w:cs="Times New Roman"/>
          <w:color w:val="4472C4" w:themeColor="accent1"/>
          <w:sz w:val="24"/>
          <w:szCs w:val="24"/>
        </w:rPr>
        <w:t>law is brought in the case, the court, if it finds that there are no grounds for granting the claim, may, on its own initiative, apply an alternative remedy provided for by law for the protection of the person's (or the child's) rights or legitimate interests.</w:t>
      </w:r>
    </w:p>
    <w:p w14:paraId="70643AF9" w14:textId="77777777" w:rsidR="000C5019" w:rsidRPr="000C5019" w:rsidRDefault="000C5019" w:rsidP="000C5019">
      <w:pPr>
        <w:jc w:val="both"/>
        <w:rPr>
          <w:rFonts w:ascii="Times New Roman" w:hAnsi="Times New Roman" w:cs="Times New Roman"/>
        </w:rPr>
      </w:pPr>
    </w:p>
    <w:p w14:paraId="2FB3FBFF" w14:textId="50375014" w:rsidR="003839DB" w:rsidRDefault="003839DB" w:rsidP="008A76E4">
      <w:pPr>
        <w:pStyle w:val="ListParagraph"/>
        <w:numPr>
          <w:ilvl w:val="0"/>
          <w:numId w:val="8"/>
        </w:numPr>
        <w:jc w:val="both"/>
        <w:rPr>
          <w:rFonts w:ascii="Times New Roman" w:hAnsi="Times New Roman" w:cs="Times New Roman"/>
        </w:rPr>
      </w:pPr>
      <w:r w:rsidRPr="00C544E3">
        <w:rPr>
          <w:rFonts w:ascii="Times New Roman" w:hAnsi="Times New Roman" w:cs="Times New Roman"/>
        </w:rPr>
        <w:t>How do you consider the approach taken by the courts of your jurisdiction to be different from the approach taken in other jurisdictions, especially non-EU jurisdictions? Please mention any notable examples of case law that demonstrate the difference.</w:t>
      </w:r>
    </w:p>
    <w:p w14:paraId="2E11FE2C" w14:textId="77777777" w:rsidR="000C5019" w:rsidRDefault="000C5019" w:rsidP="000C5019">
      <w:pPr>
        <w:pStyle w:val="ListParagraph"/>
        <w:jc w:val="both"/>
        <w:rPr>
          <w:rFonts w:ascii="Times New Roman" w:hAnsi="Times New Roman" w:cs="Times New Roman"/>
          <w:color w:val="4472C4" w:themeColor="accent1"/>
        </w:rPr>
      </w:pPr>
    </w:p>
    <w:p w14:paraId="3FECF24A" w14:textId="71FBFC72" w:rsidR="000C5019" w:rsidRPr="00243AA7" w:rsidRDefault="000C5019" w:rsidP="0021476E">
      <w:pPr>
        <w:jc w:val="both"/>
        <w:rPr>
          <w:rFonts w:ascii="Times New Roman" w:hAnsi="Times New Roman" w:cs="Times New Roman"/>
          <w:color w:val="4472C4" w:themeColor="accent1"/>
          <w:sz w:val="24"/>
          <w:szCs w:val="24"/>
        </w:rPr>
      </w:pPr>
      <w:r w:rsidRPr="00243AA7">
        <w:rPr>
          <w:rFonts w:ascii="Times New Roman" w:hAnsi="Times New Roman" w:cs="Times New Roman"/>
          <w:color w:val="4472C4" w:themeColor="accent1"/>
          <w:sz w:val="24"/>
          <w:szCs w:val="24"/>
        </w:rPr>
        <w:t xml:space="preserve">I am not aware of a different approach in other countries. </w:t>
      </w:r>
      <w:r w:rsidR="0021476E" w:rsidRPr="00243AA7">
        <w:rPr>
          <w:rFonts w:ascii="Times New Roman" w:hAnsi="Times New Roman" w:cs="Times New Roman"/>
          <w:color w:val="4472C4" w:themeColor="accent1"/>
          <w:sz w:val="24"/>
          <w:szCs w:val="24"/>
        </w:rPr>
        <w:t xml:space="preserve">Article </w:t>
      </w:r>
      <w:r w:rsidR="00FA0FF7">
        <w:rPr>
          <w:rFonts w:ascii="Times New Roman" w:hAnsi="Times New Roman" w:cs="Times New Roman"/>
          <w:color w:val="4472C4" w:themeColor="accent1"/>
          <w:sz w:val="24"/>
          <w:szCs w:val="24"/>
        </w:rPr>
        <w:t>1</w:t>
      </w:r>
      <w:r w:rsidR="0021476E" w:rsidRPr="00243AA7">
        <w:rPr>
          <w:rFonts w:ascii="Times New Roman" w:hAnsi="Times New Roman" w:cs="Times New Roman"/>
          <w:color w:val="4472C4" w:themeColor="accent1"/>
          <w:sz w:val="24"/>
          <w:szCs w:val="24"/>
        </w:rPr>
        <w:t>5 establishes one main connecting factor (</w:t>
      </w:r>
      <w:r w:rsidR="0021476E" w:rsidRPr="00383229">
        <w:rPr>
          <w:rFonts w:ascii="Times New Roman" w:hAnsi="Times New Roman" w:cs="Times New Roman"/>
          <w:i/>
          <w:iCs/>
          <w:color w:val="4472C4" w:themeColor="accent1"/>
          <w:sz w:val="24"/>
          <w:szCs w:val="24"/>
        </w:rPr>
        <w:t xml:space="preserve">lex </w:t>
      </w:r>
      <w:proofErr w:type="spellStart"/>
      <w:r w:rsidR="0021476E" w:rsidRPr="00383229">
        <w:rPr>
          <w:rFonts w:ascii="Times New Roman" w:hAnsi="Times New Roman" w:cs="Times New Roman"/>
          <w:i/>
          <w:iCs/>
          <w:color w:val="4472C4" w:themeColor="accent1"/>
          <w:sz w:val="24"/>
          <w:szCs w:val="24"/>
        </w:rPr>
        <w:t>fori</w:t>
      </w:r>
      <w:proofErr w:type="spellEnd"/>
      <w:r w:rsidR="0021476E" w:rsidRPr="00243AA7">
        <w:rPr>
          <w:rFonts w:ascii="Times New Roman" w:hAnsi="Times New Roman" w:cs="Times New Roman"/>
          <w:color w:val="4472C4" w:themeColor="accent1"/>
          <w:sz w:val="24"/>
          <w:szCs w:val="24"/>
        </w:rPr>
        <w:t xml:space="preserve"> which in many cases will correspond to the habitual residence of the child)</w:t>
      </w:r>
      <w:r w:rsidR="00282B6C" w:rsidRPr="00243AA7">
        <w:rPr>
          <w:rFonts w:ascii="Times New Roman" w:hAnsi="Times New Roman" w:cs="Times New Roman"/>
          <w:color w:val="4472C4" w:themeColor="accent1"/>
          <w:sz w:val="24"/>
          <w:szCs w:val="24"/>
        </w:rPr>
        <w:t>, which applies unless the child changes his or her habitual residence</w:t>
      </w:r>
      <w:r w:rsidR="0021476E" w:rsidRPr="00243AA7">
        <w:rPr>
          <w:rFonts w:ascii="Times New Roman" w:hAnsi="Times New Roman" w:cs="Times New Roman"/>
          <w:color w:val="4472C4" w:themeColor="accent1"/>
          <w:sz w:val="24"/>
          <w:szCs w:val="24"/>
        </w:rPr>
        <w:t xml:space="preserve">. </w:t>
      </w:r>
    </w:p>
    <w:p w14:paraId="7507DF36" w14:textId="77777777" w:rsidR="000C5019" w:rsidRPr="000C5019" w:rsidRDefault="000C5019" w:rsidP="000C5019">
      <w:pPr>
        <w:jc w:val="both"/>
        <w:rPr>
          <w:rFonts w:ascii="Times New Roman" w:hAnsi="Times New Roman" w:cs="Times New Roman"/>
        </w:rPr>
      </w:pPr>
    </w:p>
    <w:p w14:paraId="2A494164" w14:textId="7CCB67AA" w:rsidR="003839DB" w:rsidRDefault="003839DB" w:rsidP="008A76E4">
      <w:pPr>
        <w:pStyle w:val="ListParagraph"/>
        <w:numPr>
          <w:ilvl w:val="0"/>
          <w:numId w:val="8"/>
        </w:numPr>
        <w:jc w:val="both"/>
        <w:rPr>
          <w:rFonts w:ascii="Times New Roman" w:hAnsi="Times New Roman" w:cs="Times New Roman"/>
        </w:rPr>
      </w:pPr>
      <w:r w:rsidRPr="00C544E3">
        <w:rPr>
          <w:rFonts w:ascii="Times New Roman" w:hAnsi="Times New Roman" w:cs="Times New Roman"/>
        </w:rPr>
        <w:t xml:space="preserve">Do you consider the process of determining applicable law </w:t>
      </w:r>
      <w:r w:rsidR="008A76E4" w:rsidRPr="00C544E3">
        <w:rPr>
          <w:rFonts w:ascii="Times New Roman" w:hAnsi="Times New Roman" w:cs="Times New Roman"/>
        </w:rPr>
        <w:t xml:space="preserve">by the courts of your jurisdiction </w:t>
      </w:r>
      <w:r w:rsidRPr="00C544E3">
        <w:rPr>
          <w:rFonts w:ascii="Times New Roman" w:hAnsi="Times New Roman" w:cs="Times New Roman"/>
        </w:rPr>
        <w:t>to be different</w:t>
      </w:r>
      <w:r w:rsidR="00A00B00" w:rsidRPr="00C544E3">
        <w:rPr>
          <w:rFonts w:ascii="Times New Roman" w:hAnsi="Times New Roman" w:cs="Times New Roman"/>
        </w:rPr>
        <w:t xml:space="preserve"> in</w:t>
      </w:r>
      <w:r w:rsidRPr="00C544E3">
        <w:rPr>
          <w:rFonts w:ascii="Times New Roman" w:hAnsi="Times New Roman" w:cs="Times New Roman"/>
        </w:rPr>
        <w:t xml:space="preserve"> intra-EU </w:t>
      </w:r>
      <w:r w:rsidR="00A00B00" w:rsidRPr="00C544E3">
        <w:rPr>
          <w:rFonts w:ascii="Times New Roman" w:hAnsi="Times New Roman" w:cs="Times New Roman"/>
        </w:rPr>
        <w:t xml:space="preserve">cases </w:t>
      </w:r>
      <w:r w:rsidRPr="00C544E3">
        <w:rPr>
          <w:rFonts w:ascii="Times New Roman" w:hAnsi="Times New Roman" w:cs="Times New Roman"/>
        </w:rPr>
        <w:t xml:space="preserve">and </w:t>
      </w:r>
      <w:r w:rsidR="00A00B00" w:rsidRPr="00C544E3">
        <w:rPr>
          <w:rFonts w:ascii="Times New Roman" w:hAnsi="Times New Roman" w:cs="Times New Roman"/>
        </w:rPr>
        <w:t>cases involving third states</w:t>
      </w:r>
      <w:r w:rsidRPr="00C544E3">
        <w:rPr>
          <w:rFonts w:ascii="Times New Roman" w:hAnsi="Times New Roman" w:cs="Times New Roman"/>
        </w:rPr>
        <w:t xml:space="preserve">? </w:t>
      </w:r>
      <w:r w:rsidR="00EB41D9" w:rsidRPr="00C544E3">
        <w:rPr>
          <w:rFonts w:ascii="Times New Roman" w:hAnsi="Times New Roman" w:cs="Times New Roman"/>
        </w:rPr>
        <w:t xml:space="preserve">If so, what are the differences? </w:t>
      </w:r>
      <w:r w:rsidRPr="00C544E3">
        <w:rPr>
          <w:rFonts w:ascii="Times New Roman" w:hAnsi="Times New Roman" w:cs="Times New Roman"/>
        </w:rPr>
        <w:t xml:space="preserve">Please mention any notable examples that demonstrate </w:t>
      </w:r>
      <w:r w:rsidR="008A76E4" w:rsidRPr="00C544E3">
        <w:rPr>
          <w:rFonts w:ascii="Times New Roman" w:hAnsi="Times New Roman" w:cs="Times New Roman"/>
        </w:rPr>
        <w:t xml:space="preserve">such </w:t>
      </w:r>
      <w:r w:rsidRPr="00C544E3">
        <w:rPr>
          <w:rFonts w:ascii="Times New Roman" w:hAnsi="Times New Roman" w:cs="Times New Roman"/>
        </w:rPr>
        <w:t xml:space="preserve">differences. </w:t>
      </w:r>
    </w:p>
    <w:p w14:paraId="0EFB38EA" w14:textId="77777777" w:rsidR="00243AA7" w:rsidRDefault="00243AA7" w:rsidP="00282B6C">
      <w:pPr>
        <w:jc w:val="both"/>
        <w:rPr>
          <w:rFonts w:ascii="Times New Roman" w:hAnsi="Times New Roman" w:cs="Times New Roman"/>
          <w:color w:val="4472C4" w:themeColor="accent1"/>
        </w:rPr>
      </w:pPr>
    </w:p>
    <w:p w14:paraId="2254EB1B" w14:textId="1C32DA0A" w:rsidR="00282B6C" w:rsidRPr="00FA0FF7" w:rsidRDefault="00282B6C" w:rsidP="00282B6C">
      <w:pPr>
        <w:jc w:val="both"/>
        <w:rPr>
          <w:rFonts w:ascii="Times New Roman" w:hAnsi="Times New Roman" w:cs="Times New Roman"/>
          <w:color w:val="4472C4" w:themeColor="accent1"/>
          <w:sz w:val="24"/>
          <w:szCs w:val="24"/>
        </w:rPr>
      </w:pPr>
      <w:r w:rsidRPr="00FA0FF7">
        <w:rPr>
          <w:rFonts w:ascii="Times New Roman" w:hAnsi="Times New Roman" w:cs="Times New Roman"/>
          <w:color w:val="4472C4" w:themeColor="accent1"/>
          <w:sz w:val="24"/>
          <w:szCs w:val="24"/>
        </w:rPr>
        <w:t>Habitual residence of the child is the main connecting factor</w:t>
      </w:r>
      <w:r w:rsidR="00FA0FF7">
        <w:rPr>
          <w:rFonts w:ascii="Times New Roman" w:hAnsi="Times New Roman" w:cs="Times New Roman"/>
          <w:color w:val="4472C4" w:themeColor="accent1"/>
          <w:sz w:val="24"/>
          <w:szCs w:val="24"/>
        </w:rPr>
        <w:t xml:space="preserve"> for jurisdiction</w:t>
      </w:r>
      <w:r w:rsidRPr="00FA0FF7">
        <w:rPr>
          <w:rFonts w:ascii="Times New Roman" w:hAnsi="Times New Roman" w:cs="Times New Roman"/>
          <w:color w:val="4472C4" w:themeColor="accent1"/>
          <w:sz w:val="24"/>
          <w:szCs w:val="24"/>
        </w:rPr>
        <w:t xml:space="preserve"> </w:t>
      </w:r>
      <w:r w:rsidR="00FA0FF7">
        <w:rPr>
          <w:rFonts w:ascii="Times New Roman" w:hAnsi="Times New Roman" w:cs="Times New Roman"/>
          <w:color w:val="4472C4" w:themeColor="accent1"/>
          <w:sz w:val="24"/>
          <w:szCs w:val="24"/>
        </w:rPr>
        <w:t xml:space="preserve">in parental responsibility cases </w:t>
      </w:r>
      <w:r w:rsidRPr="00FA0FF7">
        <w:rPr>
          <w:rFonts w:ascii="Times New Roman" w:hAnsi="Times New Roman" w:cs="Times New Roman"/>
          <w:color w:val="4472C4" w:themeColor="accent1"/>
          <w:sz w:val="24"/>
          <w:szCs w:val="24"/>
        </w:rPr>
        <w:t xml:space="preserve">for intra-EU and 1996 Hague Convention countries. </w:t>
      </w:r>
      <w:r w:rsidR="00FA0FF7">
        <w:rPr>
          <w:rFonts w:ascii="Times New Roman" w:hAnsi="Times New Roman" w:cs="Times New Roman"/>
          <w:color w:val="4472C4" w:themeColor="accent1"/>
          <w:sz w:val="24"/>
          <w:szCs w:val="24"/>
        </w:rPr>
        <w:t xml:space="preserve">After establishing jurisdiction, </w:t>
      </w:r>
      <w:r w:rsidR="00FA0FF7" w:rsidRPr="004A28AC">
        <w:rPr>
          <w:rFonts w:ascii="Times New Roman" w:hAnsi="Times New Roman" w:cs="Times New Roman"/>
          <w:i/>
          <w:iCs/>
          <w:color w:val="4472C4" w:themeColor="accent1"/>
          <w:sz w:val="24"/>
          <w:szCs w:val="24"/>
        </w:rPr>
        <w:t xml:space="preserve">lex </w:t>
      </w:r>
      <w:proofErr w:type="spellStart"/>
      <w:r w:rsidR="00FA0FF7" w:rsidRPr="004A28AC">
        <w:rPr>
          <w:rFonts w:ascii="Times New Roman" w:hAnsi="Times New Roman" w:cs="Times New Roman"/>
          <w:i/>
          <w:iCs/>
          <w:color w:val="4472C4" w:themeColor="accent1"/>
          <w:sz w:val="24"/>
          <w:szCs w:val="24"/>
        </w:rPr>
        <w:t>fori</w:t>
      </w:r>
      <w:proofErr w:type="spellEnd"/>
      <w:r w:rsidR="00FA0FF7">
        <w:rPr>
          <w:rFonts w:ascii="Times New Roman" w:hAnsi="Times New Roman" w:cs="Times New Roman"/>
          <w:color w:val="4472C4" w:themeColor="accent1"/>
          <w:sz w:val="24"/>
          <w:szCs w:val="24"/>
        </w:rPr>
        <w:t xml:space="preserve"> would be </w:t>
      </w:r>
      <w:r w:rsidR="00D603CA">
        <w:rPr>
          <w:rFonts w:ascii="Times New Roman" w:hAnsi="Times New Roman" w:cs="Times New Roman"/>
          <w:color w:val="4472C4" w:themeColor="accent1"/>
          <w:sz w:val="24"/>
          <w:szCs w:val="24"/>
        </w:rPr>
        <w:t xml:space="preserve">the </w:t>
      </w:r>
      <w:r w:rsidR="00FA0FF7">
        <w:rPr>
          <w:rFonts w:ascii="Times New Roman" w:hAnsi="Times New Roman" w:cs="Times New Roman"/>
          <w:color w:val="4472C4" w:themeColor="accent1"/>
          <w:sz w:val="24"/>
          <w:szCs w:val="24"/>
        </w:rPr>
        <w:t xml:space="preserve">applicable law. </w:t>
      </w:r>
      <w:r w:rsidRPr="00FA0FF7">
        <w:rPr>
          <w:rFonts w:ascii="Times New Roman" w:hAnsi="Times New Roman" w:cs="Times New Roman"/>
          <w:color w:val="4472C4" w:themeColor="accent1"/>
          <w:sz w:val="24"/>
          <w:szCs w:val="24"/>
        </w:rPr>
        <w:t xml:space="preserve">For other countries, if a Lithuanian court would establish its jurisdiction in a parental responsibility case, it would </w:t>
      </w:r>
      <w:r w:rsidR="00FA0FF7">
        <w:rPr>
          <w:rFonts w:ascii="Times New Roman" w:hAnsi="Times New Roman" w:cs="Times New Roman"/>
          <w:color w:val="4472C4" w:themeColor="accent1"/>
          <w:sz w:val="24"/>
          <w:szCs w:val="24"/>
        </w:rPr>
        <w:t xml:space="preserve">most likely </w:t>
      </w:r>
      <w:r w:rsidRPr="00FA0FF7">
        <w:rPr>
          <w:rFonts w:ascii="Times New Roman" w:hAnsi="Times New Roman" w:cs="Times New Roman"/>
          <w:color w:val="4472C4" w:themeColor="accent1"/>
          <w:sz w:val="24"/>
          <w:szCs w:val="24"/>
        </w:rPr>
        <w:t>proceed with Lithuanian law</w:t>
      </w:r>
      <w:r w:rsidR="009B79FE" w:rsidRPr="00FA0FF7">
        <w:rPr>
          <w:rFonts w:ascii="Times New Roman" w:hAnsi="Times New Roman" w:cs="Times New Roman"/>
          <w:color w:val="4472C4" w:themeColor="accent1"/>
          <w:sz w:val="24"/>
          <w:szCs w:val="24"/>
        </w:rPr>
        <w:t xml:space="preserve"> (unless a bilateral treaty would provide </w:t>
      </w:r>
      <w:r w:rsidR="00FA0FF7">
        <w:rPr>
          <w:rFonts w:ascii="Times New Roman" w:hAnsi="Times New Roman" w:cs="Times New Roman"/>
          <w:color w:val="4472C4" w:themeColor="accent1"/>
          <w:sz w:val="24"/>
          <w:szCs w:val="24"/>
        </w:rPr>
        <w:t xml:space="preserve">it </w:t>
      </w:r>
      <w:r w:rsidR="009B79FE" w:rsidRPr="00FA0FF7">
        <w:rPr>
          <w:rFonts w:ascii="Times New Roman" w:hAnsi="Times New Roman" w:cs="Times New Roman"/>
          <w:color w:val="4472C4" w:themeColor="accent1"/>
          <w:sz w:val="24"/>
          <w:szCs w:val="24"/>
        </w:rPr>
        <w:t>differently)</w:t>
      </w:r>
      <w:r w:rsidRPr="00FA0FF7">
        <w:rPr>
          <w:rFonts w:ascii="Times New Roman" w:hAnsi="Times New Roman" w:cs="Times New Roman"/>
          <w:color w:val="4472C4" w:themeColor="accent1"/>
          <w:sz w:val="24"/>
          <w:szCs w:val="24"/>
        </w:rPr>
        <w:t xml:space="preserve">. </w:t>
      </w:r>
    </w:p>
    <w:p w14:paraId="5CB65ED9" w14:textId="77777777" w:rsidR="00282B6C" w:rsidRPr="00282B6C" w:rsidRDefault="00282B6C" w:rsidP="00282B6C">
      <w:pPr>
        <w:jc w:val="both"/>
        <w:rPr>
          <w:rFonts w:ascii="Times New Roman" w:hAnsi="Times New Roman" w:cs="Times New Roman"/>
        </w:rPr>
      </w:pPr>
    </w:p>
    <w:p w14:paraId="4CC172E6" w14:textId="22D9C3DF" w:rsidR="00CD5066" w:rsidRPr="00C544E3" w:rsidRDefault="00CD5066" w:rsidP="008A76E4">
      <w:pPr>
        <w:pStyle w:val="Heading2"/>
        <w:jc w:val="both"/>
      </w:pPr>
      <w:bookmarkStart w:id="8" w:name="_Toc122349478"/>
      <w:r w:rsidRPr="00C544E3">
        <w:t>Recognition and Enforcement</w:t>
      </w:r>
      <w:bookmarkEnd w:id="8"/>
    </w:p>
    <w:p w14:paraId="173C0C1E" w14:textId="77777777" w:rsidR="008A76E4" w:rsidRPr="00C544E3" w:rsidRDefault="008A76E4" w:rsidP="008A76E4">
      <w:pPr>
        <w:jc w:val="both"/>
      </w:pPr>
    </w:p>
    <w:p w14:paraId="1920CCA6" w14:textId="5EF31952" w:rsidR="00981E93" w:rsidRPr="00EF7B49" w:rsidRDefault="007E7FF1" w:rsidP="00981E93">
      <w:pPr>
        <w:pStyle w:val="ListParagraph"/>
        <w:numPr>
          <w:ilvl w:val="0"/>
          <w:numId w:val="8"/>
        </w:numPr>
        <w:jc w:val="both"/>
        <w:rPr>
          <w:rFonts w:ascii="Times New Roman" w:hAnsi="Times New Roman" w:cs="Times New Roman"/>
        </w:rPr>
      </w:pPr>
      <w:r w:rsidRPr="00EF7B49">
        <w:rPr>
          <w:rFonts w:ascii="Times New Roman" w:hAnsi="Times New Roman" w:cs="Times New Roman"/>
        </w:rPr>
        <w:t>H</w:t>
      </w:r>
      <w:r w:rsidR="004A302C" w:rsidRPr="00EF7B49">
        <w:rPr>
          <w:rFonts w:ascii="Times New Roman" w:hAnsi="Times New Roman" w:cs="Times New Roman"/>
        </w:rPr>
        <w:t xml:space="preserve">ow does the </w:t>
      </w:r>
      <w:r w:rsidR="00CD5066" w:rsidRPr="00EF7B49">
        <w:rPr>
          <w:rFonts w:ascii="Times New Roman" w:hAnsi="Times New Roman" w:cs="Times New Roman"/>
        </w:rPr>
        <w:t>ease of recognition and enforcement of foreign judgments compare</w:t>
      </w:r>
      <w:r w:rsidR="007D1728" w:rsidRPr="00EF7B49">
        <w:rPr>
          <w:rFonts w:ascii="Times New Roman" w:hAnsi="Times New Roman" w:cs="Times New Roman"/>
        </w:rPr>
        <w:t xml:space="preserve"> between</w:t>
      </w:r>
      <w:r w:rsidR="004A302C" w:rsidRPr="00EF7B49">
        <w:rPr>
          <w:rFonts w:ascii="Times New Roman" w:hAnsi="Times New Roman" w:cs="Times New Roman"/>
        </w:rPr>
        <w:t xml:space="preserve"> intra</w:t>
      </w:r>
      <w:r w:rsidR="00947DAC" w:rsidRPr="00EF7B49">
        <w:rPr>
          <w:rFonts w:ascii="Times New Roman" w:hAnsi="Times New Roman" w:cs="Times New Roman"/>
        </w:rPr>
        <w:t>-</w:t>
      </w:r>
      <w:r w:rsidR="004A302C" w:rsidRPr="00EF7B49">
        <w:rPr>
          <w:rFonts w:ascii="Times New Roman" w:hAnsi="Times New Roman" w:cs="Times New Roman"/>
        </w:rPr>
        <w:t>EU</w:t>
      </w:r>
      <w:r w:rsidR="00CD5066" w:rsidRPr="00EF7B49">
        <w:rPr>
          <w:rFonts w:ascii="Times New Roman" w:hAnsi="Times New Roman" w:cs="Times New Roman"/>
        </w:rPr>
        <w:t xml:space="preserve"> (Brussels </w:t>
      </w:r>
      <w:proofErr w:type="spellStart"/>
      <w:r w:rsidR="00CD5066" w:rsidRPr="00EF7B49">
        <w:rPr>
          <w:rFonts w:ascii="Times New Roman" w:hAnsi="Times New Roman" w:cs="Times New Roman"/>
        </w:rPr>
        <w:t>IIa</w:t>
      </w:r>
      <w:proofErr w:type="spellEnd"/>
      <w:r w:rsidR="00CD5066" w:rsidRPr="00EF7B49">
        <w:rPr>
          <w:rFonts w:ascii="Times New Roman" w:hAnsi="Times New Roman" w:cs="Times New Roman"/>
        </w:rPr>
        <w:t xml:space="preserve"> Regulation) and third states</w:t>
      </w:r>
      <w:r w:rsidRPr="00EF7B49">
        <w:rPr>
          <w:rFonts w:ascii="Times New Roman" w:hAnsi="Times New Roman" w:cs="Times New Roman"/>
        </w:rPr>
        <w:t>’ judgments</w:t>
      </w:r>
      <w:r w:rsidR="00CD5066" w:rsidRPr="00EF7B49">
        <w:rPr>
          <w:rFonts w:ascii="Times New Roman" w:hAnsi="Times New Roman" w:cs="Times New Roman"/>
        </w:rPr>
        <w:t xml:space="preserve"> (1996 Convention)?</w:t>
      </w:r>
      <w:r w:rsidR="00981E93" w:rsidRPr="00EF7B49">
        <w:rPr>
          <w:rFonts w:ascii="Times New Roman" w:hAnsi="Times New Roman" w:cs="Times New Roman"/>
        </w:rPr>
        <w:t xml:space="preserve"> A</w:t>
      </w:r>
      <w:r w:rsidR="00CD5066" w:rsidRPr="00EF7B49">
        <w:rPr>
          <w:rFonts w:ascii="Times New Roman" w:hAnsi="Times New Roman" w:cs="Times New Roman"/>
        </w:rPr>
        <w:t xml:space="preserve">re you aware of </w:t>
      </w:r>
      <w:r w:rsidR="00981E93" w:rsidRPr="00EF7B49">
        <w:rPr>
          <w:rFonts w:ascii="Times New Roman" w:hAnsi="Times New Roman" w:cs="Times New Roman"/>
        </w:rPr>
        <w:t xml:space="preserve">any examples of </w:t>
      </w:r>
      <w:r w:rsidR="00600C44" w:rsidRPr="00EF7B49">
        <w:rPr>
          <w:rFonts w:ascii="Times New Roman" w:hAnsi="Times New Roman" w:cs="Times New Roman"/>
        </w:rPr>
        <w:t xml:space="preserve">relevant </w:t>
      </w:r>
      <w:r w:rsidR="00981E93" w:rsidRPr="00EF7B49">
        <w:rPr>
          <w:rFonts w:ascii="Times New Roman" w:hAnsi="Times New Roman" w:cs="Times New Roman"/>
        </w:rPr>
        <w:t>cas</w:t>
      </w:r>
      <w:r w:rsidR="00E405E4" w:rsidRPr="00EF7B49">
        <w:rPr>
          <w:rFonts w:ascii="Times New Roman" w:hAnsi="Times New Roman" w:cs="Times New Roman"/>
        </w:rPr>
        <w:t>es decided by the courts of</w:t>
      </w:r>
      <w:r w:rsidR="00981E93" w:rsidRPr="00EF7B49">
        <w:rPr>
          <w:rFonts w:ascii="Times New Roman" w:hAnsi="Times New Roman" w:cs="Times New Roman"/>
        </w:rPr>
        <w:t xml:space="preserve"> your jurisdiction? </w:t>
      </w:r>
    </w:p>
    <w:p w14:paraId="7E23DD7E" w14:textId="77777777" w:rsidR="00EF7B49" w:rsidRDefault="00EF7B49" w:rsidP="00282B6C">
      <w:pPr>
        <w:jc w:val="both"/>
        <w:rPr>
          <w:rFonts w:ascii="Times New Roman" w:hAnsi="Times New Roman" w:cs="Times New Roman"/>
        </w:rPr>
      </w:pPr>
    </w:p>
    <w:p w14:paraId="2F1F406C" w14:textId="57E4C344" w:rsidR="00282B6C" w:rsidRPr="00BF5578" w:rsidRDefault="00EF7B49" w:rsidP="00282B6C">
      <w:pPr>
        <w:jc w:val="both"/>
        <w:rPr>
          <w:rFonts w:ascii="Times New Roman" w:hAnsi="Times New Roman" w:cs="Times New Roman"/>
          <w:color w:val="4472C4" w:themeColor="accent1"/>
          <w:sz w:val="24"/>
          <w:szCs w:val="24"/>
        </w:rPr>
      </w:pPr>
      <w:r w:rsidRPr="00BF5578">
        <w:rPr>
          <w:rFonts w:ascii="Times New Roman" w:hAnsi="Times New Roman" w:cs="Times New Roman"/>
          <w:color w:val="4472C4" w:themeColor="accent1"/>
          <w:sz w:val="24"/>
          <w:szCs w:val="24"/>
        </w:rPr>
        <w:t>I am not aware of any considerable differences thereof.</w:t>
      </w:r>
    </w:p>
    <w:p w14:paraId="71D7C19D" w14:textId="77777777" w:rsidR="00282B6C" w:rsidRPr="00282B6C" w:rsidRDefault="00282B6C" w:rsidP="00282B6C">
      <w:pPr>
        <w:jc w:val="both"/>
        <w:rPr>
          <w:rFonts w:ascii="Times New Roman" w:hAnsi="Times New Roman" w:cs="Times New Roman"/>
        </w:rPr>
      </w:pPr>
    </w:p>
    <w:p w14:paraId="4B8BB9C3" w14:textId="1A57C18B" w:rsidR="00C7229C" w:rsidRPr="00C544E3" w:rsidRDefault="00CD5066" w:rsidP="00981E93">
      <w:pPr>
        <w:pStyle w:val="Heading2"/>
      </w:pPr>
      <w:bookmarkStart w:id="9" w:name="_Toc122349479"/>
      <w:r w:rsidRPr="00C544E3">
        <w:t>International cooperation of authorities</w:t>
      </w:r>
      <w:bookmarkEnd w:id="9"/>
    </w:p>
    <w:p w14:paraId="33A89EAE" w14:textId="77777777" w:rsidR="00981E93" w:rsidRPr="00C544E3" w:rsidRDefault="00981E93" w:rsidP="00981E93"/>
    <w:p w14:paraId="3A3ECF09" w14:textId="6EA03371" w:rsidR="00C7229C" w:rsidRDefault="00B94B8D" w:rsidP="008A76E4">
      <w:pPr>
        <w:pStyle w:val="ListParagraph"/>
        <w:numPr>
          <w:ilvl w:val="0"/>
          <w:numId w:val="8"/>
        </w:numPr>
        <w:jc w:val="both"/>
        <w:rPr>
          <w:rFonts w:ascii="Times New Roman" w:hAnsi="Times New Roman" w:cs="Times New Roman"/>
        </w:rPr>
      </w:pPr>
      <w:r w:rsidRPr="00C544E3">
        <w:rPr>
          <w:rFonts w:ascii="Times New Roman" w:hAnsi="Times New Roman" w:cs="Times New Roman"/>
        </w:rPr>
        <w:t>P</w:t>
      </w:r>
      <w:r w:rsidR="003839DB" w:rsidRPr="00C544E3">
        <w:rPr>
          <w:rFonts w:ascii="Times New Roman" w:hAnsi="Times New Roman" w:cs="Times New Roman"/>
        </w:rPr>
        <w:t xml:space="preserve">lease comment on how </w:t>
      </w:r>
      <w:r w:rsidR="009D7F98" w:rsidRPr="00C544E3">
        <w:rPr>
          <w:rFonts w:ascii="Times New Roman" w:hAnsi="Times New Roman" w:cs="Times New Roman"/>
        </w:rPr>
        <w:t>international cooperation is approached in your jurisdiction, noting any case law</w:t>
      </w:r>
      <w:r w:rsidR="0039705F" w:rsidRPr="00C544E3">
        <w:rPr>
          <w:rFonts w:ascii="Times New Roman" w:hAnsi="Times New Roman" w:cs="Times New Roman"/>
        </w:rPr>
        <w:t xml:space="preserve"> or other secondary sources </w:t>
      </w:r>
      <w:r w:rsidR="007F48D6" w:rsidRPr="00C544E3">
        <w:rPr>
          <w:rFonts w:ascii="Times New Roman" w:hAnsi="Times New Roman" w:cs="Times New Roman"/>
        </w:rPr>
        <w:t>you</w:t>
      </w:r>
      <w:r w:rsidR="0039705F" w:rsidRPr="00C544E3">
        <w:rPr>
          <w:rFonts w:ascii="Times New Roman" w:hAnsi="Times New Roman" w:cs="Times New Roman"/>
        </w:rPr>
        <w:t xml:space="preserve"> consider important. </w:t>
      </w:r>
      <w:r w:rsidR="00AA359A" w:rsidRPr="00C544E3">
        <w:rPr>
          <w:rFonts w:ascii="Times New Roman" w:hAnsi="Times New Roman" w:cs="Times New Roman"/>
        </w:rPr>
        <w:t xml:space="preserve">E.g. are separate or the same authorities responsible for these instruments? </w:t>
      </w:r>
    </w:p>
    <w:p w14:paraId="152C5BDE" w14:textId="77777777" w:rsidR="00EF7B49" w:rsidRDefault="00EF7B49" w:rsidP="00EA1539">
      <w:pPr>
        <w:jc w:val="both"/>
        <w:rPr>
          <w:rFonts w:ascii="Times New Roman" w:hAnsi="Times New Roman" w:cs="Times New Roman"/>
          <w:color w:val="4472C4" w:themeColor="accent1"/>
        </w:rPr>
      </w:pPr>
    </w:p>
    <w:p w14:paraId="185EEBEB" w14:textId="4FF8851F" w:rsidR="00EF7B49" w:rsidRPr="00EF7B49" w:rsidRDefault="00EF7B49" w:rsidP="00EA1539">
      <w:pPr>
        <w:jc w:val="both"/>
        <w:rPr>
          <w:rFonts w:ascii="Times New Roman" w:hAnsi="Times New Roman" w:cs="Times New Roman"/>
          <w:color w:val="4472C4" w:themeColor="accent1"/>
          <w:highlight w:val="yellow"/>
        </w:rPr>
      </w:pPr>
      <w:r>
        <w:rPr>
          <w:rFonts w:ascii="Times New Roman" w:hAnsi="Times New Roman" w:cs="Times New Roman"/>
          <w:color w:val="4472C4" w:themeColor="accent1"/>
          <w:sz w:val="24"/>
          <w:szCs w:val="24"/>
        </w:rPr>
        <w:t>As noted above, t</w:t>
      </w:r>
      <w:r w:rsidRPr="00EE760D">
        <w:rPr>
          <w:rFonts w:ascii="Times New Roman" w:hAnsi="Times New Roman" w:cs="Times New Roman"/>
          <w:color w:val="4472C4" w:themeColor="accent1"/>
          <w:sz w:val="24"/>
          <w:szCs w:val="24"/>
        </w:rPr>
        <w:t xml:space="preserve">he </w:t>
      </w:r>
      <w:r w:rsidRPr="004333C1">
        <w:rPr>
          <w:rFonts w:ascii="Times New Roman" w:hAnsi="Times New Roman" w:cs="Times New Roman"/>
          <w:color w:val="4472C4" w:themeColor="accent1"/>
          <w:sz w:val="24"/>
          <w:szCs w:val="24"/>
        </w:rPr>
        <w:t xml:space="preserve">State Child Rights Protection and Adoption Service </w:t>
      </w:r>
      <w:r w:rsidR="00BF5578">
        <w:rPr>
          <w:rFonts w:ascii="Times New Roman" w:hAnsi="Times New Roman" w:cs="Times New Roman"/>
          <w:color w:val="4472C4" w:themeColor="accent1"/>
          <w:sz w:val="24"/>
          <w:szCs w:val="24"/>
        </w:rPr>
        <w:t>performs</w:t>
      </w:r>
      <w:r w:rsidRPr="00EE760D">
        <w:rPr>
          <w:rFonts w:ascii="Times New Roman" w:hAnsi="Times New Roman" w:cs="Times New Roman"/>
          <w:color w:val="4472C4" w:themeColor="accent1"/>
          <w:sz w:val="24"/>
          <w:szCs w:val="24"/>
        </w:rPr>
        <w:t xml:space="preserve"> the functions of a central authority for the fulfilment of the obligations laid down in the 1980 Hague Convention and the 1996 Hague Convention</w:t>
      </w:r>
      <w:r>
        <w:rPr>
          <w:rFonts w:ascii="Times New Roman" w:hAnsi="Times New Roman" w:cs="Times New Roman"/>
          <w:color w:val="4472C4" w:themeColor="accent1"/>
          <w:sz w:val="24"/>
          <w:szCs w:val="24"/>
        </w:rPr>
        <w:t>,</w:t>
      </w:r>
      <w:r w:rsidRPr="00EE760D">
        <w:rPr>
          <w:rFonts w:ascii="Times New Roman" w:hAnsi="Times New Roman" w:cs="Times New Roman"/>
          <w:color w:val="4472C4" w:themeColor="accent1"/>
          <w:sz w:val="24"/>
          <w:szCs w:val="24"/>
        </w:rPr>
        <w:t xml:space="preserve"> as well as in Regulation </w:t>
      </w:r>
      <w:r>
        <w:rPr>
          <w:rFonts w:ascii="Times New Roman" w:hAnsi="Times New Roman" w:cs="Times New Roman"/>
          <w:color w:val="4472C4" w:themeColor="accent1"/>
          <w:sz w:val="24"/>
          <w:szCs w:val="24"/>
        </w:rPr>
        <w:t>Brussels IIter</w:t>
      </w:r>
      <w:r w:rsidRPr="00EF7B49">
        <w:rPr>
          <w:rFonts w:ascii="Times New Roman" w:hAnsi="Times New Roman" w:cs="Times New Roman"/>
          <w:color w:val="4472C4" w:themeColor="accent1"/>
          <w:sz w:val="24"/>
          <w:szCs w:val="24"/>
        </w:rPr>
        <w:t xml:space="preserve">. I have contacted a representative of the State Child Rights Protection and Adoption Service to get her opinion on this question. I was informed, that in all EU and </w:t>
      </w:r>
      <w:r w:rsidR="004A28AC">
        <w:rPr>
          <w:rFonts w:ascii="Times New Roman" w:hAnsi="Times New Roman" w:cs="Times New Roman"/>
          <w:color w:val="4472C4" w:themeColor="accent1"/>
          <w:sz w:val="24"/>
          <w:szCs w:val="24"/>
        </w:rPr>
        <w:t xml:space="preserve">1980 and 1996 </w:t>
      </w:r>
      <w:r w:rsidRPr="00EF7B49">
        <w:rPr>
          <w:rFonts w:ascii="Times New Roman" w:hAnsi="Times New Roman" w:cs="Times New Roman"/>
          <w:color w:val="4472C4" w:themeColor="accent1"/>
          <w:sz w:val="24"/>
          <w:szCs w:val="24"/>
        </w:rPr>
        <w:t>Hague Convention cases the central authorities contact their counterparts directly, with long-standing relations formed with countries from where most cases come. In some situations, such direct contacts are extended to the local level.</w:t>
      </w:r>
      <w:r w:rsidRPr="00EF7B49">
        <w:rPr>
          <w:rFonts w:ascii="Times New Roman" w:hAnsi="Times New Roman" w:cs="Times New Roman"/>
          <w:color w:val="4472C4" w:themeColor="accent1"/>
        </w:rPr>
        <w:t xml:space="preserve"> </w:t>
      </w:r>
    </w:p>
    <w:p w14:paraId="230E4EA8" w14:textId="77777777" w:rsidR="00EA1539" w:rsidRPr="00EA1539" w:rsidRDefault="00EA1539" w:rsidP="00EA1539">
      <w:pPr>
        <w:jc w:val="both"/>
        <w:rPr>
          <w:rFonts w:ascii="Times New Roman" w:hAnsi="Times New Roman" w:cs="Times New Roman"/>
        </w:rPr>
      </w:pPr>
    </w:p>
    <w:p w14:paraId="1A6ACC94" w14:textId="1A032191" w:rsidR="00F408AF" w:rsidRPr="00C544E3" w:rsidRDefault="00F408AF" w:rsidP="008A76E4">
      <w:pPr>
        <w:pStyle w:val="Heading2"/>
        <w:numPr>
          <w:ilvl w:val="0"/>
          <w:numId w:val="6"/>
        </w:numPr>
        <w:jc w:val="both"/>
        <w:rPr>
          <w:rFonts w:ascii="Times New Roman" w:hAnsi="Times New Roman" w:cs="Times New Roman"/>
          <w:b/>
          <w:bCs/>
          <w:sz w:val="24"/>
          <w:szCs w:val="24"/>
        </w:rPr>
      </w:pPr>
      <w:bookmarkStart w:id="10" w:name="_Toc122349480"/>
      <w:r w:rsidRPr="00C544E3">
        <w:rPr>
          <w:rFonts w:ascii="Times New Roman" w:hAnsi="Times New Roman" w:cs="Times New Roman"/>
          <w:b/>
          <w:bCs/>
          <w:sz w:val="24"/>
          <w:szCs w:val="24"/>
        </w:rPr>
        <w:t>Convention of 1 June 1970 on the Recognition of Divorces and Legal Separations</w:t>
      </w:r>
      <w:bookmarkEnd w:id="10"/>
    </w:p>
    <w:p w14:paraId="052B6B88" w14:textId="6DC8E831" w:rsidR="00917066" w:rsidRPr="00C544E3" w:rsidRDefault="00917066" w:rsidP="008A76E4">
      <w:pPr>
        <w:jc w:val="both"/>
        <w:rPr>
          <w:rFonts w:ascii="Times New Roman" w:hAnsi="Times New Roman" w:cs="Times New Roman"/>
        </w:rPr>
      </w:pPr>
    </w:p>
    <w:p w14:paraId="4F808AF3" w14:textId="390BFD49" w:rsidR="00917066" w:rsidRPr="007E5DDD" w:rsidRDefault="00124677" w:rsidP="008A76E4">
      <w:pPr>
        <w:pStyle w:val="ListParagraph"/>
        <w:numPr>
          <w:ilvl w:val="0"/>
          <w:numId w:val="8"/>
        </w:numPr>
        <w:jc w:val="both"/>
        <w:rPr>
          <w:rFonts w:ascii="Times New Roman" w:hAnsi="Times New Roman" w:cs="Times New Roman"/>
          <w:strike/>
        </w:rPr>
      </w:pPr>
      <w:r w:rsidRPr="007E5DDD">
        <w:rPr>
          <w:rFonts w:ascii="Times New Roman" w:hAnsi="Times New Roman" w:cs="Times New Roman"/>
          <w:strike/>
        </w:rPr>
        <w:t>If relevant, please comment on the use</w:t>
      </w:r>
      <w:r w:rsidR="00897209" w:rsidRPr="007E5DDD">
        <w:rPr>
          <w:rFonts w:ascii="Times New Roman" w:hAnsi="Times New Roman" w:cs="Times New Roman"/>
          <w:strike/>
        </w:rPr>
        <w:t xml:space="preserve">, </w:t>
      </w:r>
      <w:r w:rsidRPr="007E5DDD">
        <w:rPr>
          <w:rFonts w:ascii="Times New Roman" w:hAnsi="Times New Roman" w:cs="Times New Roman"/>
          <w:strike/>
        </w:rPr>
        <w:t>operation, and notable case law concerning the 1970 Convention</w:t>
      </w:r>
      <w:r w:rsidR="00897209" w:rsidRPr="007E5DDD">
        <w:rPr>
          <w:rFonts w:ascii="Times New Roman" w:hAnsi="Times New Roman" w:cs="Times New Roman"/>
          <w:strike/>
        </w:rPr>
        <w:t xml:space="preserve"> in your jurisdiction</w:t>
      </w:r>
      <w:r w:rsidRPr="007E5DDD">
        <w:rPr>
          <w:rFonts w:ascii="Times New Roman" w:hAnsi="Times New Roman" w:cs="Times New Roman"/>
          <w:strike/>
        </w:rPr>
        <w:t xml:space="preserve">. </w:t>
      </w:r>
      <w:r w:rsidR="00F00E77" w:rsidRPr="007E5DDD">
        <w:rPr>
          <w:rFonts w:ascii="Times New Roman" w:hAnsi="Times New Roman" w:cs="Times New Roman"/>
          <w:strike/>
        </w:rPr>
        <w:t>Otherwise, please comment on what you consider to be the obstacles to your jurisdiction becoming a Contracting Party to the Convention</w:t>
      </w:r>
      <w:r w:rsidR="003F06AA" w:rsidRPr="007E5DDD">
        <w:rPr>
          <w:rFonts w:ascii="Times New Roman" w:hAnsi="Times New Roman" w:cs="Times New Roman"/>
          <w:strike/>
        </w:rPr>
        <w:t>.</w:t>
      </w:r>
    </w:p>
    <w:p w14:paraId="6D03989F" w14:textId="77777777" w:rsidR="00EF7B49" w:rsidRDefault="00EF7B49" w:rsidP="00EF7B49">
      <w:pPr>
        <w:jc w:val="both"/>
        <w:rPr>
          <w:rFonts w:ascii="Times New Roman" w:hAnsi="Times New Roman" w:cs="Times New Roman"/>
          <w:color w:val="4472C4" w:themeColor="accent1"/>
        </w:rPr>
      </w:pPr>
    </w:p>
    <w:p w14:paraId="41E51C7C" w14:textId="509486C8" w:rsidR="00F05FA6" w:rsidRPr="00D42A4D" w:rsidRDefault="00F05FA6" w:rsidP="00EF7B49">
      <w:pPr>
        <w:jc w:val="both"/>
        <w:rPr>
          <w:rFonts w:ascii="Times New Roman" w:hAnsi="Times New Roman" w:cs="Times New Roman"/>
          <w:color w:val="4472C4" w:themeColor="accent1"/>
          <w:sz w:val="24"/>
          <w:szCs w:val="24"/>
        </w:rPr>
      </w:pPr>
      <w:r w:rsidRPr="00D42A4D">
        <w:rPr>
          <w:rFonts w:ascii="Times New Roman" w:hAnsi="Times New Roman" w:cs="Times New Roman"/>
          <w:color w:val="4472C4" w:themeColor="accent1"/>
          <w:sz w:val="24"/>
          <w:szCs w:val="24"/>
        </w:rPr>
        <w:t>Lithuania is not a party to this Convention.</w:t>
      </w:r>
    </w:p>
    <w:p w14:paraId="4E0BD504" w14:textId="77777777" w:rsidR="00F05FA6" w:rsidRPr="00C544E3" w:rsidRDefault="00F05FA6" w:rsidP="00F05FA6">
      <w:pPr>
        <w:pStyle w:val="ListParagraph"/>
        <w:jc w:val="both"/>
        <w:rPr>
          <w:rFonts w:ascii="Times New Roman" w:hAnsi="Times New Roman" w:cs="Times New Roman"/>
        </w:rPr>
      </w:pPr>
    </w:p>
    <w:p w14:paraId="0E370A35" w14:textId="2163903C" w:rsidR="00F408AF" w:rsidRPr="00C544E3" w:rsidRDefault="00F408AF" w:rsidP="008A76E4">
      <w:pPr>
        <w:pStyle w:val="Heading2"/>
        <w:numPr>
          <w:ilvl w:val="0"/>
          <w:numId w:val="6"/>
        </w:numPr>
        <w:jc w:val="both"/>
        <w:rPr>
          <w:rFonts w:ascii="Times New Roman" w:hAnsi="Times New Roman" w:cs="Times New Roman"/>
          <w:b/>
          <w:bCs/>
          <w:sz w:val="24"/>
          <w:szCs w:val="24"/>
        </w:rPr>
      </w:pPr>
      <w:bookmarkStart w:id="11" w:name="_Toc122349481"/>
      <w:r w:rsidRPr="00C544E3">
        <w:rPr>
          <w:rFonts w:ascii="Times New Roman" w:hAnsi="Times New Roman" w:cs="Times New Roman"/>
          <w:b/>
          <w:bCs/>
          <w:sz w:val="24"/>
          <w:szCs w:val="24"/>
        </w:rPr>
        <w:t>Convention of 23 November 2007 on the International Recovery of Child Support and Other Forms of Family Maintenance</w:t>
      </w:r>
      <w:bookmarkEnd w:id="11"/>
    </w:p>
    <w:p w14:paraId="4C524D68" w14:textId="423EF467" w:rsidR="00917066" w:rsidRPr="00C544E3" w:rsidRDefault="00917066" w:rsidP="008A76E4">
      <w:pPr>
        <w:jc w:val="both"/>
        <w:rPr>
          <w:rFonts w:ascii="Times New Roman" w:hAnsi="Times New Roman" w:cs="Times New Roman"/>
        </w:rPr>
      </w:pPr>
    </w:p>
    <w:p w14:paraId="0432E0AC" w14:textId="392E537D" w:rsidR="0039705F" w:rsidRDefault="00C9265F" w:rsidP="008A76E4">
      <w:pPr>
        <w:pStyle w:val="ListParagraph"/>
        <w:numPr>
          <w:ilvl w:val="0"/>
          <w:numId w:val="8"/>
        </w:numPr>
        <w:jc w:val="both"/>
        <w:rPr>
          <w:rFonts w:ascii="Times New Roman" w:hAnsi="Times New Roman" w:cs="Times New Roman"/>
        </w:rPr>
      </w:pPr>
      <w:r w:rsidRPr="00C544E3">
        <w:rPr>
          <w:rFonts w:ascii="Times New Roman" w:hAnsi="Times New Roman" w:cs="Times New Roman"/>
        </w:rPr>
        <w:t xml:space="preserve">We </w:t>
      </w:r>
      <w:r w:rsidR="0039705F" w:rsidRPr="00C544E3">
        <w:rPr>
          <w:rFonts w:ascii="Times New Roman" w:hAnsi="Times New Roman" w:cs="Times New Roman"/>
        </w:rPr>
        <w:t>note that there is limited case</w:t>
      </w:r>
      <w:r w:rsidRPr="00C544E3">
        <w:rPr>
          <w:rFonts w:ascii="Times New Roman" w:hAnsi="Times New Roman" w:cs="Times New Roman"/>
        </w:rPr>
        <w:t xml:space="preserve"> </w:t>
      </w:r>
      <w:r w:rsidR="0039705F" w:rsidRPr="00C544E3">
        <w:rPr>
          <w:rFonts w:ascii="Times New Roman" w:hAnsi="Times New Roman" w:cs="Times New Roman"/>
        </w:rPr>
        <w:t>law in the UK interpreting the 2007 Maintenance Convention. Are you aware of any case law that links to the UK</w:t>
      </w:r>
      <w:r w:rsidR="00AE2163" w:rsidRPr="00C544E3">
        <w:rPr>
          <w:rFonts w:ascii="Times New Roman" w:hAnsi="Times New Roman" w:cs="Times New Roman"/>
        </w:rPr>
        <w:t xml:space="preserve"> or is otherwise significant for this jurisdiction?</w:t>
      </w:r>
      <w:r w:rsidR="00900386" w:rsidRPr="00C544E3">
        <w:rPr>
          <w:rFonts w:ascii="Times New Roman" w:hAnsi="Times New Roman" w:cs="Times New Roman"/>
        </w:rPr>
        <w:t xml:space="preserve"> If so, please briefly outline such case law.</w:t>
      </w:r>
    </w:p>
    <w:p w14:paraId="3AD6B8E3" w14:textId="77777777" w:rsidR="00FA0FF7" w:rsidRDefault="00FA0FF7" w:rsidP="00CD1EBC">
      <w:pPr>
        <w:jc w:val="both"/>
        <w:rPr>
          <w:rFonts w:ascii="Times New Roman" w:hAnsi="Times New Roman" w:cs="Times New Roman"/>
          <w:color w:val="4472C4" w:themeColor="accent1"/>
          <w:sz w:val="24"/>
          <w:szCs w:val="24"/>
        </w:rPr>
      </w:pPr>
    </w:p>
    <w:p w14:paraId="63AC2455" w14:textId="7773AEF0" w:rsidR="00CD1EBC" w:rsidRDefault="00CD1EBC" w:rsidP="00CD1EBC">
      <w:pPr>
        <w:jc w:val="both"/>
        <w:rPr>
          <w:rFonts w:ascii="Times New Roman" w:hAnsi="Times New Roman" w:cs="Times New Roman"/>
          <w:color w:val="4472C4" w:themeColor="accent1"/>
          <w:sz w:val="24"/>
          <w:szCs w:val="24"/>
        </w:rPr>
      </w:pPr>
      <w:r w:rsidRPr="00FA0FF7">
        <w:rPr>
          <w:rFonts w:ascii="Times New Roman" w:hAnsi="Times New Roman" w:cs="Times New Roman"/>
          <w:color w:val="4472C4" w:themeColor="accent1"/>
          <w:sz w:val="24"/>
          <w:szCs w:val="24"/>
        </w:rPr>
        <w:t xml:space="preserve">The case law in Lithuania is also limited. The case law search engine has identified </w:t>
      </w:r>
      <w:r w:rsidR="0002476F">
        <w:rPr>
          <w:rFonts w:ascii="Times New Roman" w:hAnsi="Times New Roman" w:cs="Times New Roman"/>
          <w:color w:val="4472C4" w:themeColor="accent1"/>
          <w:sz w:val="24"/>
          <w:szCs w:val="24"/>
        </w:rPr>
        <w:t>only</w:t>
      </w:r>
      <w:r w:rsidRPr="00FA0FF7">
        <w:rPr>
          <w:rFonts w:ascii="Times New Roman" w:hAnsi="Times New Roman" w:cs="Times New Roman"/>
          <w:color w:val="4472C4" w:themeColor="accent1"/>
          <w:sz w:val="24"/>
          <w:szCs w:val="24"/>
        </w:rPr>
        <w:t xml:space="preserve"> two recent cases where </w:t>
      </w:r>
      <w:r w:rsidR="006E5174" w:rsidRPr="00FA0FF7">
        <w:rPr>
          <w:rFonts w:ascii="Times New Roman" w:hAnsi="Times New Roman" w:cs="Times New Roman"/>
          <w:color w:val="4472C4" w:themeColor="accent1"/>
          <w:sz w:val="24"/>
          <w:szCs w:val="24"/>
        </w:rPr>
        <w:t xml:space="preserve">the </w:t>
      </w:r>
      <w:r w:rsidRPr="00FA0FF7">
        <w:rPr>
          <w:rFonts w:ascii="Times New Roman" w:hAnsi="Times New Roman" w:cs="Times New Roman"/>
          <w:color w:val="4472C4" w:themeColor="accent1"/>
          <w:sz w:val="24"/>
          <w:szCs w:val="24"/>
        </w:rPr>
        <w:t xml:space="preserve">2007 Maintenance Convention was applied. One of the cases related to </w:t>
      </w:r>
      <w:r w:rsidRPr="00FA0FF7">
        <w:rPr>
          <w:rFonts w:ascii="Times New Roman" w:hAnsi="Times New Roman" w:cs="Times New Roman"/>
          <w:color w:val="4472C4" w:themeColor="accent1"/>
          <w:sz w:val="24"/>
          <w:szCs w:val="24"/>
        </w:rPr>
        <w:lastRenderedPageBreak/>
        <w:t>Belarus</w:t>
      </w:r>
      <w:r w:rsidRPr="00FA0FF7">
        <w:rPr>
          <w:rStyle w:val="FootnoteReference"/>
          <w:rFonts w:ascii="Times New Roman" w:hAnsi="Times New Roman" w:cs="Times New Roman"/>
          <w:color w:val="4472C4" w:themeColor="accent1"/>
          <w:sz w:val="24"/>
          <w:szCs w:val="24"/>
        </w:rPr>
        <w:footnoteReference w:id="37"/>
      </w:r>
      <w:r w:rsidRPr="00FA0FF7">
        <w:rPr>
          <w:rFonts w:ascii="Times New Roman" w:hAnsi="Times New Roman" w:cs="Times New Roman"/>
          <w:color w:val="4472C4" w:themeColor="accent1"/>
          <w:sz w:val="24"/>
          <w:szCs w:val="24"/>
        </w:rPr>
        <w:t xml:space="preserve"> and one – to the United States.</w:t>
      </w:r>
      <w:r w:rsidRPr="00FA0FF7">
        <w:rPr>
          <w:rStyle w:val="FootnoteReference"/>
          <w:rFonts w:ascii="Times New Roman" w:hAnsi="Times New Roman" w:cs="Times New Roman"/>
          <w:color w:val="4472C4" w:themeColor="accent1"/>
          <w:sz w:val="24"/>
          <w:szCs w:val="24"/>
        </w:rPr>
        <w:footnoteReference w:id="38"/>
      </w:r>
      <w:r w:rsidRPr="00FA0FF7">
        <w:rPr>
          <w:rFonts w:ascii="Times New Roman" w:hAnsi="Times New Roman" w:cs="Times New Roman"/>
          <w:color w:val="4472C4" w:themeColor="accent1"/>
          <w:sz w:val="24"/>
          <w:szCs w:val="24"/>
        </w:rPr>
        <w:t xml:space="preserve"> Both cases concern the interpretation and application of the legal norms governing the recognition and enforcement of foreign judgments in Lithuania.</w:t>
      </w:r>
    </w:p>
    <w:p w14:paraId="2C0B1D6E" w14:textId="0F3DCE84" w:rsidR="0013761B" w:rsidRDefault="0013761B" w:rsidP="00CD1EBC">
      <w:pPr>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 xml:space="preserve">In </w:t>
      </w:r>
      <w:r w:rsidR="00CB475B">
        <w:rPr>
          <w:rFonts w:ascii="Times New Roman" w:hAnsi="Times New Roman" w:cs="Times New Roman"/>
          <w:color w:val="4472C4" w:themeColor="accent1"/>
          <w:sz w:val="24"/>
          <w:szCs w:val="24"/>
        </w:rPr>
        <w:t xml:space="preserve">the </w:t>
      </w:r>
      <w:r>
        <w:rPr>
          <w:rFonts w:ascii="Times New Roman" w:hAnsi="Times New Roman" w:cs="Times New Roman"/>
          <w:color w:val="4472C4" w:themeColor="accent1"/>
          <w:sz w:val="24"/>
          <w:szCs w:val="24"/>
        </w:rPr>
        <w:t>case related to Belarus,</w:t>
      </w:r>
      <w:r w:rsidR="00B17A40" w:rsidRPr="00B17A40">
        <w:rPr>
          <w:rStyle w:val="FootnoteReference"/>
          <w:rFonts w:ascii="Times New Roman" w:hAnsi="Times New Roman" w:cs="Times New Roman"/>
          <w:color w:val="4472C4" w:themeColor="accent1"/>
          <w:sz w:val="24"/>
          <w:szCs w:val="24"/>
        </w:rPr>
        <w:t xml:space="preserve"> </w:t>
      </w:r>
      <w:r w:rsidR="00B17A40" w:rsidRPr="00FA0FF7">
        <w:rPr>
          <w:rStyle w:val="FootnoteReference"/>
          <w:rFonts w:ascii="Times New Roman" w:hAnsi="Times New Roman" w:cs="Times New Roman"/>
          <w:color w:val="4472C4" w:themeColor="accent1"/>
          <w:sz w:val="24"/>
          <w:szCs w:val="24"/>
        </w:rPr>
        <w:footnoteReference w:id="39"/>
      </w:r>
      <w:r>
        <w:rPr>
          <w:rFonts w:ascii="Times New Roman" w:hAnsi="Times New Roman" w:cs="Times New Roman"/>
          <w:color w:val="4472C4" w:themeColor="accent1"/>
          <w:sz w:val="24"/>
          <w:szCs w:val="24"/>
        </w:rPr>
        <w:t xml:space="preserve"> there were several questions covered. The first</w:t>
      </w:r>
      <w:r w:rsidR="00CB475B">
        <w:rPr>
          <w:rFonts w:ascii="Times New Roman" w:hAnsi="Times New Roman" w:cs="Times New Roman"/>
          <w:color w:val="4472C4" w:themeColor="accent1"/>
          <w:sz w:val="24"/>
          <w:szCs w:val="24"/>
        </w:rPr>
        <w:t xml:space="preserve"> was</w:t>
      </w:r>
      <w:r>
        <w:rPr>
          <w:rFonts w:ascii="Times New Roman" w:hAnsi="Times New Roman" w:cs="Times New Roman"/>
          <w:color w:val="4472C4" w:themeColor="accent1"/>
          <w:sz w:val="24"/>
          <w:szCs w:val="24"/>
        </w:rPr>
        <w:t xml:space="preserve"> related to </w:t>
      </w:r>
      <w:r w:rsidR="00CB475B">
        <w:rPr>
          <w:rFonts w:ascii="Times New Roman" w:hAnsi="Times New Roman" w:cs="Times New Roman"/>
          <w:color w:val="4472C4" w:themeColor="accent1"/>
          <w:sz w:val="24"/>
          <w:szCs w:val="24"/>
        </w:rPr>
        <w:t xml:space="preserve">the </w:t>
      </w:r>
      <w:r>
        <w:rPr>
          <w:rFonts w:ascii="Times New Roman" w:hAnsi="Times New Roman" w:cs="Times New Roman"/>
          <w:color w:val="4472C4" w:themeColor="accent1"/>
          <w:sz w:val="24"/>
          <w:szCs w:val="24"/>
        </w:rPr>
        <w:t>relationship between the 2007 Hague Convention and the bilateral treaty between Belarus and Lithuania.</w:t>
      </w:r>
      <w:r w:rsidR="00B17A40">
        <w:rPr>
          <w:rFonts w:ascii="Times New Roman" w:hAnsi="Times New Roman" w:cs="Times New Roman"/>
          <w:color w:val="4472C4" w:themeColor="accent1"/>
          <w:sz w:val="24"/>
          <w:szCs w:val="24"/>
        </w:rPr>
        <w:t xml:space="preserve"> The second question analysed </w:t>
      </w:r>
      <w:r w:rsidR="00B17A40" w:rsidRPr="00B17A40">
        <w:rPr>
          <w:rFonts w:ascii="Times New Roman" w:hAnsi="Times New Roman" w:cs="Times New Roman"/>
          <w:color w:val="4472C4" w:themeColor="accent1"/>
          <w:sz w:val="24"/>
          <w:szCs w:val="24"/>
        </w:rPr>
        <w:t>the procedure for the recognition and enforcement of judgments under the 2007 Hague Convention and the procedure for appeals against judgments given in the course of that procedure</w:t>
      </w:r>
      <w:r w:rsidR="00B17A40">
        <w:rPr>
          <w:rFonts w:ascii="Times New Roman" w:hAnsi="Times New Roman" w:cs="Times New Roman"/>
          <w:color w:val="4472C4" w:themeColor="accent1"/>
          <w:sz w:val="24"/>
          <w:szCs w:val="24"/>
        </w:rPr>
        <w:t xml:space="preserve">. The third question </w:t>
      </w:r>
      <w:r w:rsidR="00B17A40" w:rsidRPr="00B17A40">
        <w:rPr>
          <w:rFonts w:ascii="Times New Roman" w:hAnsi="Times New Roman" w:cs="Times New Roman"/>
          <w:color w:val="4472C4" w:themeColor="accent1"/>
          <w:sz w:val="24"/>
          <w:szCs w:val="24"/>
        </w:rPr>
        <w:t>examin</w:t>
      </w:r>
      <w:r w:rsidR="00B17A40">
        <w:rPr>
          <w:rFonts w:ascii="Times New Roman" w:hAnsi="Times New Roman" w:cs="Times New Roman"/>
          <w:color w:val="4472C4" w:themeColor="accent1"/>
          <w:sz w:val="24"/>
          <w:szCs w:val="24"/>
        </w:rPr>
        <w:t>ed</w:t>
      </w:r>
      <w:r w:rsidR="00B17A40" w:rsidRPr="00B17A40">
        <w:rPr>
          <w:rFonts w:ascii="Times New Roman" w:hAnsi="Times New Roman" w:cs="Times New Roman"/>
          <w:color w:val="4472C4" w:themeColor="accent1"/>
          <w:sz w:val="24"/>
          <w:szCs w:val="24"/>
        </w:rPr>
        <w:t xml:space="preserve"> the guarantee of the right to due process in court proceedings in Belarus in the context of the decision on recognition and enforcement of a judgment in the Republic of Lithuania</w:t>
      </w:r>
      <w:r w:rsidR="00B17A40">
        <w:rPr>
          <w:rFonts w:ascii="Times New Roman" w:hAnsi="Times New Roman" w:cs="Times New Roman"/>
          <w:color w:val="4472C4" w:themeColor="accent1"/>
          <w:sz w:val="24"/>
          <w:szCs w:val="24"/>
        </w:rPr>
        <w:t>.</w:t>
      </w:r>
    </w:p>
    <w:p w14:paraId="2003C003" w14:textId="27FA8094" w:rsidR="00B17A40" w:rsidRPr="00FA0FF7" w:rsidRDefault="00B17A40" w:rsidP="00CD1EBC">
      <w:pPr>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The case related to the US</w:t>
      </w:r>
      <w:r w:rsidRPr="00FA0FF7">
        <w:rPr>
          <w:rStyle w:val="FootnoteReference"/>
          <w:rFonts w:ascii="Times New Roman" w:hAnsi="Times New Roman" w:cs="Times New Roman"/>
          <w:color w:val="4472C4" w:themeColor="accent1"/>
          <w:sz w:val="24"/>
          <w:szCs w:val="24"/>
        </w:rPr>
        <w:footnoteReference w:id="40"/>
      </w:r>
      <w:r>
        <w:rPr>
          <w:rFonts w:ascii="Times New Roman" w:hAnsi="Times New Roman" w:cs="Times New Roman"/>
          <w:color w:val="4472C4" w:themeColor="accent1"/>
          <w:sz w:val="24"/>
          <w:szCs w:val="24"/>
        </w:rPr>
        <w:t xml:space="preserve"> examined </w:t>
      </w:r>
      <w:r w:rsidRPr="00B17A40">
        <w:rPr>
          <w:rFonts w:ascii="Times New Roman" w:hAnsi="Times New Roman" w:cs="Times New Roman"/>
          <w:color w:val="4472C4" w:themeColor="accent1"/>
          <w:sz w:val="24"/>
          <w:szCs w:val="24"/>
        </w:rPr>
        <w:t>the legal framework, the documents to be produced, the substance of the procedure and the procedure for appealing against the recognition and enforcement of part of a US judgment</w:t>
      </w:r>
      <w:r>
        <w:rPr>
          <w:rFonts w:ascii="Times New Roman" w:hAnsi="Times New Roman" w:cs="Times New Roman"/>
          <w:color w:val="4472C4" w:themeColor="accent1"/>
          <w:sz w:val="24"/>
          <w:szCs w:val="24"/>
        </w:rPr>
        <w:t>.</w:t>
      </w:r>
    </w:p>
    <w:p w14:paraId="2C353168" w14:textId="77777777" w:rsidR="00CD1EBC" w:rsidRPr="00CD1EBC" w:rsidRDefault="00CD1EBC" w:rsidP="00CD1EBC">
      <w:pPr>
        <w:jc w:val="both"/>
        <w:rPr>
          <w:rFonts w:ascii="Times New Roman" w:hAnsi="Times New Roman" w:cs="Times New Roman"/>
        </w:rPr>
      </w:pPr>
    </w:p>
    <w:p w14:paraId="0ECA9149" w14:textId="7546435C" w:rsidR="00C9265F" w:rsidRPr="00C544E3" w:rsidRDefault="009923A4" w:rsidP="009923A4">
      <w:pPr>
        <w:pStyle w:val="Heading2"/>
      </w:pPr>
      <w:bookmarkStart w:id="12" w:name="_Toc122349482"/>
      <w:r w:rsidRPr="00C544E3">
        <w:t xml:space="preserve">Applicable law (especially where different from the </w:t>
      </w:r>
      <w:r w:rsidRPr="00C544E3">
        <w:rPr>
          <w:i/>
          <w:iCs/>
        </w:rPr>
        <w:t xml:space="preserve">lex </w:t>
      </w:r>
      <w:proofErr w:type="spellStart"/>
      <w:r w:rsidRPr="00C544E3">
        <w:rPr>
          <w:i/>
          <w:iCs/>
        </w:rPr>
        <w:t>fori</w:t>
      </w:r>
      <w:proofErr w:type="spellEnd"/>
      <w:r w:rsidRPr="00C544E3">
        <w:t>)</w:t>
      </w:r>
      <w:bookmarkEnd w:id="12"/>
    </w:p>
    <w:p w14:paraId="3EE59796" w14:textId="77777777" w:rsidR="009923A4" w:rsidRPr="00C544E3" w:rsidRDefault="009923A4" w:rsidP="000E77E1">
      <w:pPr>
        <w:spacing w:after="0"/>
      </w:pPr>
    </w:p>
    <w:p w14:paraId="0E4B0793" w14:textId="427EA34D" w:rsidR="00AE2163" w:rsidRDefault="000E77E1" w:rsidP="008A76E4">
      <w:pPr>
        <w:pStyle w:val="ListParagraph"/>
        <w:numPr>
          <w:ilvl w:val="0"/>
          <w:numId w:val="8"/>
        </w:numPr>
        <w:jc w:val="both"/>
        <w:rPr>
          <w:rFonts w:ascii="Times New Roman" w:hAnsi="Times New Roman" w:cs="Times New Roman"/>
        </w:rPr>
      </w:pPr>
      <w:r w:rsidRPr="00C544E3">
        <w:rPr>
          <w:rFonts w:ascii="Times New Roman" w:hAnsi="Times New Roman" w:cs="Times New Roman"/>
        </w:rPr>
        <w:t>We</w:t>
      </w:r>
      <w:r w:rsidR="00AE2163" w:rsidRPr="00C544E3">
        <w:rPr>
          <w:rFonts w:ascii="Times New Roman" w:hAnsi="Times New Roman" w:cs="Times New Roman"/>
        </w:rPr>
        <w:t xml:space="preserve"> understand that a challenging point can be establishing the contents of foreign law when the applicable law is </w:t>
      </w:r>
      <w:r w:rsidRPr="00C544E3">
        <w:rPr>
          <w:rFonts w:ascii="Times New Roman" w:hAnsi="Times New Roman" w:cs="Times New Roman"/>
        </w:rPr>
        <w:t xml:space="preserve">different from the </w:t>
      </w:r>
      <w:r w:rsidRPr="00C544E3">
        <w:rPr>
          <w:rFonts w:ascii="Times New Roman" w:hAnsi="Times New Roman" w:cs="Times New Roman"/>
          <w:i/>
          <w:iCs/>
        </w:rPr>
        <w:t xml:space="preserve">lex </w:t>
      </w:r>
      <w:proofErr w:type="spellStart"/>
      <w:r w:rsidRPr="00C544E3">
        <w:rPr>
          <w:rFonts w:ascii="Times New Roman" w:hAnsi="Times New Roman" w:cs="Times New Roman"/>
          <w:i/>
          <w:iCs/>
        </w:rPr>
        <w:t>fori</w:t>
      </w:r>
      <w:proofErr w:type="spellEnd"/>
      <w:r w:rsidRPr="00C544E3">
        <w:rPr>
          <w:rFonts w:ascii="Times New Roman" w:hAnsi="Times New Roman" w:cs="Times New Roman"/>
        </w:rPr>
        <w:t>.</w:t>
      </w:r>
      <w:r w:rsidR="003E6D38" w:rsidRPr="00C544E3">
        <w:rPr>
          <w:rFonts w:ascii="Times New Roman" w:hAnsi="Times New Roman" w:cs="Times New Roman"/>
        </w:rPr>
        <w:t xml:space="preserve"> For example</w:t>
      </w:r>
      <w:r w:rsidRPr="00C544E3">
        <w:rPr>
          <w:rFonts w:ascii="Times New Roman" w:hAnsi="Times New Roman" w:cs="Times New Roman"/>
        </w:rPr>
        <w:t>,</w:t>
      </w:r>
      <w:r w:rsidR="007F48D6" w:rsidRPr="00C544E3">
        <w:rPr>
          <w:rFonts w:ascii="Times New Roman" w:hAnsi="Times New Roman" w:cs="Times New Roman"/>
        </w:rPr>
        <w:t xml:space="preserve"> </w:t>
      </w:r>
      <w:r w:rsidR="003E6D38" w:rsidRPr="00C544E3">
        <w:rPr>
          <w:rFonts w:ascii="Times New Roman" w:hAnsi="Times New Roman" w:cs="Times New Roman"/>
        </w:rPr>
        <w:t>when a party purports to apply foreign law</w:t>
      </w:r>
      <w:r w:rsidR="007F48D6" w:rsidRPr="00C544E3">
        <w:rPr>
          <w:rFonts w:ascii="Times New Roman" w:hAnsi="Times New Roman" w:cs="Times New Roman"/>
        </w:rPr>
        <w:t xml:space="preserve"> in UK courts</w:t>
      </w:r>
      <w:r w:rsidR="003E6D38" w:rsidRPr="00C544E3">
        <w:rPr>
          <w:rFonts w:ascii="Times New Roman" w:hAnsi="Times New Roman" w:cs="Times New Roman"/>
        </w:rPr>
        <w:t>, that party must plead foreign law as facts before the court.</w:t>
      </w:r>
      <w:r w:rsidR="00EF35A8" w:rsidRPr="00C544E3">
        <w:rPr>
          <w:rFonts w:ascii="Times New Roman" w:hAnsi="Times New Roman" w:cs="Times New Roman"/>
        </w:rPr>
        <w:t xml:space="preserve"> What are the methods and techniques used by the courts of your jurisdiction to establish the contents of foreign law?</w:t>
      </w:r>
    </w:p>
    <w:p w14:paraId="7FD84909" w14:textId="77777777" w:rsidR="009E1A88" w:rsidRDefault="009E1A88" w:rsidP="002E3532">
      <w:pPr>
        <w:jc w:val="both"/>
        <w:rPr>
          <w:rFonts w:ascii="Times New Roman" w:hAnsi="Times New Roman" w:cs="Times New Roman"/>
          <w:color w:val="4472C4" w:themeColor="accent1"/>
          <w:sz w:val="24"/>
          <w:szCs w:val="24"/>
        </w:rPr>
      </w:pPr>
    </w:p>
    <w:p w14:paraId="4D7A2174" w14:textId="3B6A119D" w:rsidR="00B17A40" w:rsidRDefault="00B17A40" w:rsidP="002E3532">
      <w:pPr>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 xml:space="preserve">Though this question is put under the </w:t>
      </w:r>
      <w:r w:rsidRPr="00B17A40">
        <w:rPr>
          <w:rFonts w:ascii="Times New Roman" w:hAnsi="Times New Roman" w:cs="Times New Roman"/>
          <w:color w:val="4472C4" w:themeColor="accent1"/>
          <w:sz w:val="24"/>
          <w:szCs w:val="24"/>
        </w:rPr>
        <w:t>Convention of 23 November 2007 on the International Recovery of Child Support and Other Forms of Family Maintenance</w:t>
      </w:r>
      <w:r>
        <w:rPr>
          <w:rFonts w:ascii="Times New Roman" w:hAnsi="Times New Roman" w:cs="Times New Roman"/>
          <w:color w:val="4472C4" w:themeColor="accent1"/>
          <w:sz w:val="24"/>
          <w:szCs w:val="24"/>
        </w:rPr>
        <w:t>, I will answer it as a general question.</w:t>
      </w:r>
    </w:p>
    <w:p w14:paraId="0F4B8D67" w14:textId="1834E5EA" w:rsidR="002E3532" w:rsidRPr="0002476F" w:rsidRDefault="002E3532" w:rsidP="002E3532">
      <w:pPr>
        <w:jc w:val="both"/>
        <w:rPr>
          <w:rFonts w:ascii="Times New Roman" w:hAnsi="Times New Roman" w:cs="Times New Roman"/>
          <w:color w:val="4472C4" w:themeColor="accent1"/>
          <w:sz w:val="24"/>
          <w:szCs w:val="24"/>
        </w:rPr>
      </w:pPr>
      <w:r w:rsidRPr="0002476F">
        <w:rPr>
          <w:rFonts w:ascii="Times New Roman" w:hAnsi="Times New Roman" w:cs="Times New Roman"/>
          <w:color w:val="4472C4" w:themeColor="accent1"/>
          <w:sz w:val="24"/>
          <w:szCs w:val="24"/>
        </w:rPr>
        <w:t>According to Article 1.10(1) of the Civil Code, foreign law is applicable to civil relations when it is provided for by (</w:t>
      </w:r>
      <w:proofErr w:type="spellStart"/>
      <w:r w:rsidR="009D66E7">
        <w:rPr>
          <w:rFonts w:ascii="Times New Roman" w:hAnsi="Times New Roman" w:cs="Times New Roman"/>
          <w:color w:val="4472C4" w:themeColor="accent1"/>
          <w:sz w:val="24"/>
          <w:szCs w:val="24"/>
        </w:rPr>
        <w:t>i</w:t>
      </w:r>
      <w:proofErr w:type="spellEnd"/>
      <w:r w:rsidRPr="0002476F">
        <w:rPr>
          <w:rFonts w:ascii="Times New Roman" w:hAnsi="Times New Roman" w:cs="Times New Roman"/>
          <w:color w:val="4472C4" w:themeColor="accent1"/>
          <w:sz w:val="24"/>
          <w:szCs w:val="24"/>
        </w:rPr>
        <w:t>) international treaties of the Republic of Lithuania; (</w:t>
      </w:r>
      <w:r w:rsidR="009D66E7">
        <w:rPr>
          <w:rFonts w:ascii="Times New Roman" w:hAnsi="Times New Roman" w:cs="Times New Roman"/>
          <w:color w:val="4472C4" w:themeColor="accent1"/>
          <w:sz w:val="24"/>
          <w:szCs w:val="24"/>
        </w:rPr>
        <w:t>ii</w:t>
      </w:r>
      <w:r w:rsidRPr="0002476F">
        <w:rPr>
          <w:rFonts w:ascii="Times New Roman" w:hAnsi="Times New Roman" w:cs="Times New Roman"/>
          <w:color w:val="4472C4" w:themeColor="accent1"/>
          <w:sz w:val="24"/>
          <w:szCs w:val="24"/>
        </w:rPr>
        <w:t>) agreements between the parties; or (</w:t>
      </w:r>
      <w:r w:rsidR="009D66E7">
        <w:rPr>
          <w:rFonts w:ascii="Times New Roman" w:hAnsi="Times New Roman" w:cs="Times New Roman"/>
          <w:color w:val="4472C4" w:themeColor="accent1"/>
          <w:sz w:val="24"/>
          <w:szCs w:val="24"/>
        </w:rPr>
        <w:t>iii</w:t>
      </w:r>
      <w:r w:rsidRPr="0002476F">
        <w:rPr>
          <w:rFonts w:ascii="Times New Roman" w:hAnsi="Times New Roman" w:cs="Times New Roman"/>
          <w:color w:val="4472C4" w:themeColor="accent1"/>
          <w:sz w:val="24"/>
          <w:szCs w:val="24"/>
        </w:rPr>
        <w:t>) laws of the Republic of Lithuania.</w:t>
      </w:r>
    </w:p>
    <w:p w14:paraId="4887B7AD" w14:textId="7A4755C5" w:rsidR="002E3532" w:rsidRPr="0002476F" w:rsidRDefault="002E3532" w:rsidP="002E3532">
      <w:pPr>
        <w:jc w:val="both"/>
        <w:rPr>
          <w:rFonts w:ascii="Times New Roman" w:hAnsi="Times New Roman" w:cs="Times New Roman"/>
          <w:color w:val="4472C4" w:themeColor="accent1"/>
          <w:sz w:val="24"/>
          <w:szCs w:val="24"/>
        </w:rPr>
      </w:pPr>
      <w:r w:rsidRPr="0002476F">
        <w:rPr>
          <w:rFonts w:ascii="Times New Roman" w:hAnsi="Times New Roman" w:cs="Times New Roman"/>
          <w:color w:val="4472C4" w:themeColor="accent1"/>
          <w:sz w:val="24"/>
          <w:szCs w:val="24"/>
        </w:rPr>
        <w:t xml:space="preserve">Article 1.12 of the Civil Code </w:t>
      </w:r>
      <w:r w:rsidR="00FA0FF7" w:rsidRPr="0002476F">
        <w:rPr>
          <w:rFonts w:ascii="Times New Roman" w:hAnsi="Times New Roman" w:cs="Times New Roman"/>
          <w:color w:val="4472C4" w:themeColor="accent1"/>
          <w:sz w:val="24"/>
          <w:szCs w:val="24"/>
        </w:rPr>
        <w:t xml:space="preserve">and Article 808 of the Code of Civil Procedure </w:t>
      </w:r>
      <w:r w:rsidRPr="0002476F">
        <w:rPr>
          <w:rFonts w:ascii="Times New Roman" w:hAnsi="Times New Roman" w:cs="Times New Roman"/>
          <w:color w:val="4472C4" w:themeColor="accent1"/>
          <w:sz w:val="24"/>
          <w:szCs w:val="24"/>
        </w:rPr>
        <w:t xml:space="preserve">sets out the </w:t>
      </w:r>
      <w:r w:rsidR="009E1A88">
        <w:rPr>
          <w:rFonts w:ascii="Times New Roman" w:hAnsi="Times New Roman" w:cs="Times New Roman"/>
          <w:color w:val="4472C4" w:themeColor="accent1"/>
          <w:sz w:val="24"/>
          <w:szCs w:val="24"/>
        </w:rPr>
        <w:t xml:space="preserve">following </w:t>
      </w:r>
      <w:r w:rsidRPr="0002476F">
        <w:rPr>
          <w:rFonts w:ascii="Times New Roman" w:hAnsi="Times New Roman" w:cs="Times New Roman"/>
          <w:color w:val="4472C4" w:themeColor="accent1"/>
          <w:sz w:val="24"/>
          <w:szCs w:val="24"/>
        </w:rPr>
        <w:t xml:space="preserve">rules for determining the contents of foreign law: </w:t>
      </w:r>
    </w:p>
    <w:p w14:paraId="199E36F9" w14:textId="0412799F" w:rsidR="002E3532" w:rsidRPr="0002476F" w:rsidRDefault="002E3532" w:rsidP="0031609A">
      <w:pPr>
        <w:pStyle w:val="ListParagraph"/>
        <w:numPr>
          <w:ilvl w:val="0"/>
          <w:numId w:val="20"/>
        </w:numPr>
        <w:jc w:val="both"/>
        <w:rPr>
          <w:rFonts w:ascii="Times New Roman" w:hAnsi="Times New Roman" w:cs="Times New Roman"/>
          <w:color w:val="4472C4" w:themeColor="accent1"/>
          <w:sz w:val="24"/>
          <w:szCs w:val="24"/>
        </w:rPr>
      </w:pPr>
      <w:r w:rsidRPr="0002476F">
        <w:rPr>
          <w:rFonts w:ascii="Times New Roman" w:hAnsi="Times New Roman" w:cs="Times New Roman"/>
          <w:color w:val="4472C4" w:themeColor="accent1"/>
          <w:sz w:val="24"/>
          <w:szCs w:val="24"/>
        </w:rPr>
        <w:t xml:space="preserve">In cases provided for by international treaties or laws of the Republic of Lithuania, foreign law shall be applied, interpreted and its content determined by the court </w:t>
      </w:r>
      <w:r w:rsidRPr="009D66E7">
        <w:rPr>
          <w:rFonts w:ascii="Times New Roman" w:hAnsi="Times New Roman" w:cs="Times New Roman"/>
          <w:i/>
          <w:iCs/>
          <w:color w:val="4472C4" w:themeColor="accent1"/>
          <w:sz w:val="24"/>
          <w:szCs w:val="24"/>
        </w:rPr>
        <w:t xml:space="preserve">ex </w:t>
      </w:r>
      <w:r w:rsidRPr="009D66E7">
        <w:rPr>
          <w:rFonts w:ascii="Times New Roman" w:hAnsi="Times New Roman" w:cs="Times New Roman"/>
          <w:i/>
          <w:iCs/>
          <w:color w:val="4472C4" w:themeColor="accent1"/>
          <w:sz w:val="24"/>
          <w:szCs w:val="24"/>
        </w:rPr>
        <w:lastRenderedPageBreak/>
        <w:t>officio</w:t>
      </w:r>
      <w:r w:rsidRPr="0002476F">
        <w:rPr>
          <w:rFonts w:ascii="Times New Roman" w:hAnsi="Times New Roman" w:cs="Times New Roman"/>
          <w:color w:val="4472C4" w:themeColor="accent1"/>
          <w:sz w:val="24"/>
          <w:szCs w:val="24"/>
        </w:rPr>
        <w:t xml:space="preserve"> (on its own initiative). According to the case law, this rule is also applied in case the application of foreign law is provided by EU law.</w:t>
      </w:r>
      <w:r w:rsidRPr="0031609A">
        <w:rPr>
          <w:rFonts w:ascii="Times New Roman" w:hAnsi="Times New Roman"/>
          <w:vertAlign w:val="superscript"/>
        </w:rPr>
        <w:footnoteReference w:id="41"/>
      </w:r>
    </w:p>
    <w:p w14:paraId="65AFC11A" w14:textId="5744F785" w:rsidR="002E3532" w:rsidRPr="0002476F" w:rsidRDefault="002E3532" w:rsidP="0031609A">
      <w:pPr>
        <w:pStyle w:val="ListParagraph"/>
        <w:numPr>
          <w:ilvl w:val="0"/>
          <w:numId w:val="20"/>
        </w:numPr>
        <w:jc w:val="both"/>
        <w:rPr>
          <w:rFonts w:ascii="Times New Roman" w:hAnsi="Times New Roman" w:cs="Times New Roman"/>
          <w:color w:val="4472C4" w:themeColor="accent1"/>
          <w:sz w:val="24"/>
          <w:szCs w:val="24"/>
        </w:rPr>
      </w:pPr>
      <w:r w:rsidRPr="0002476F">
        <w:rPr>
          <w:rFonts w:ascii="Times New Roman" w:hAnsi="Times New Roman" w:cs="Times New Roman"/>
          <w:color w:val="4472C4" w:themeColor="accent1"/>
          <w:sz w:val="24"/>
          <w:szCs w:val="24"/>
        </w:rPr>
        <w:t xml:space="preserve">If the application of foreign law is provided for by an agreement between the parties, all evidence relating to the content of the applicable foreign law shall be submitted by the party invoking the foreign law, taking into account the official interpretation of that law, the practice of its application and the doctrine in the relevant foreign </w:t>
      </w:r>
      <w:r w:rsidR="00530825">
        <w:rPr>
          <w:rFonts w:ascii="Times New Roman" w:hAnsi="Times New Roman" w:cs="Times New Roman"/>
          <w:color w:val="4472C4" w:themeColor="accent1"/>
          <w:sz w:val="24"/>
          <w:szCs w:val="24"/>
        </w:rPr>
        <w:t>s</w:t>
      </w:r>
      <w:r w:rsidRPr="0002476F">
        <w:rPr>
          <w:rFonts w:ascii="Times New Roman" w:hAnsi="Times New Roman" w:cs="Times New Roman"/>
          <w:color w:val="4472C4" w:themeColor="accent1"/>
          <w:sz w:val="24"/>
          <w:szCs w:val="24"/>
        </w:rPr>
        <w:t>tate. At the request of a disputing party, the court may assist him/her in gathering information on the applicable foreign law.</w:t>
      </w:r>
    </w:p>
    <w:p w14:paraId="228FE9B3" w14:textId="7FA2B42E" w:rsidR="002E3532" w:rsidRPr="0002476F" w:rsidRDefault="002E3532" w:rsidP="0031609A">
      <w:pPr>
        <w:pStyle w:val="ListParagraph"/>
        <w:numPr>
          <w:ilvl w:val="0"/>
          <w:numId w:val="20"/>
        </w:numPr>
        <w:jc w:val="both"/>
        <w:rPr>
          <w:rFonts w:ascii="Times New Roman" w:hAnsi="Times New Roman" w:cs="Times New Roman"/>
          <w:color w:val="4472C4" w:themeColor="accent1"/>
          <w:sz w:val="24"/>
          <w:szCs w:val="24"/>
        </w:rPr>
      </w:pPr>
      <w:r w:rsidRPr="0002476F">
        <w:rPr>
          <w:rFonts w:ascii="Times New Roman" w:hAnsi="Times New Roman" w:cs="Times New Roman"/>
          <w:color w:val="4472C4" w:themeColor="accent1"/>
          <w:sz w:val="24"/>
          <w:szCs w:val="24"/>
        </w:rPr>
        <w:t xml:space="preserve">If the court or the disputing party relying on foreign law fails to fulfil the obligation </w:t>
      </w:r>
      <w:r w:rsidR="009E1A88">
        <w:rPr>
          <w:rFonts w:ascii="Times New Roman" w:hAnsi="Times New Roman" w:cs="Times New Roman"/>
          <w:color w:val="4472C4" w:themeColor="accent1"/>
          <w:sz w:val="24"/>
          <w:szCs w:val="24"/>
        </w:rPr>
        <w:t>to provide evidence on the content of the foreign law</w:t>
      </w:r>
      <w:r w:rsidRPr="0002476F">
        <w:rPr>
          <w:rFonts w:ascii="Times New Roman" w:hAnsi="Times New Roman" w:cs="Times New Roman"/>
          <w:color w:val="4472C4" w:themeColor="accent1"/>
          <w:sz w:val="24"/>
          <w:szCs w:val="24"/>
        </w:rPr>
        <w:t>, Lithuanian law shall apply.</w:t>
      </w:r>
    </w:p>
    <w:p w14:paraId="66C146EB" w14:textId="1FE743BF" w:rsidR="002E3532" w:rsidRPr="0002476F" w:rsidRDefault="002E3532" w:rsidP="0031609A">
      <w:pPr>
        <w:pStyle w:val="ListParagraph"/>
        <w:numPr>
          <w:ilvl w:val="0"/>
          <w:numId w:val="20"/>
        </w:numPr>
        <w:jc w:val="both"/>
        <w:rPr>
          <w:rFonts w:ascii="Times New Roman" w:hAnsi="Times New Roman" w:cs="Times New Roman"/>
          <w:color w:val="4472C4" w:themeColor="accent1"/>
          <w:sz w:val="24"/>
          <w:szCs w:val="24"/>
        </w:rPr>
      </w:pPr>
      <w:r w:rsidRPr="0002476F">
        <w:rPr>
          <w:rFonts w:ascii="Times New Roman" w:hAnsi="Times New Roman" w:cs="Times New Roman"/>
          <w:color w:val="4472C4" w:themeColor="accent1"/>
          <w:sz w:val="24"/>
          <w:szCs w:val="24"/>
        </w:rPr>
        <w:t>In exceptional cases where it is necessary to take urgent interim measures to protect a person's rights or property until the law applicable to the dispute and its content have been determined, the court may resolve the immediate issues by applying Lithuanian law.</w:t>
      </w:r>
    </w:p>
    <w:p w14:paraId="3B2DB65C" w14:textId="610D1528" w:rsidR="002E3532" w:rsidRPr="0002476F" w:rsidRDefault="00BD0DC7" w:rsidP="002E3532">
      <w:pPr>
        <w:jc w:val="both"/>
        <w:rPr>
          <w:rFonts w:ascii="Times New Roman" w:hAnsi="Times New Roman" w:cs="Times New Roman"/>
          <w:color w:val="4472C4" w:themeColor="accent1"/>
          <w:sz w:val="24"/>
          <w:szCs w:val="24"/>
        </w:rPr>
      </w:pPr>
      <w:r w:rsidRPr="0002476F">
        <w:rPr>
          <w:rFonts w:ascii="Times New Roman" w:hAnsi="Times New Roman" w:cs="Times New Roman"/>
          <w:color w:val="4472C4" w:themeColor="accent1"/>
          <w:sz w:val="24"/>
          <w:szCs w:val="24"/>
        </w:rPr>
        <w:t>Thus, where the application of foreign law is determined by the agreement of the parties</w:t>
      </w:r>
      <w:r w:rsidR="009D66E7">
        <w:rPr>
          <w:rFonts w:ascii="Times New Roman" w:hAnsi="Times New Roman" w:cs="Times New Roman"/>
          <w:color w:val="4472C4" w:themeColor="accent1"/>
          <w:sz w:val="24"/>
          <w:szCs w:val="24"/>
        </w:rPr>
        <w:t xml:space="preserve"> (e.g. in a matrimonial property agreement)</w:t>
      </w:r>
      <w:r w:rsidRPr="0002476F">
        <w:rPr>
          <w:rFonts w:ascii="Times New Roman" w:hAnsi="Times New Roman" w:cs="Times New Roman"/>
          <w:color w:val="4472C4" w:themeColor="accent1"/>
          <w:sz w:val="24"/>
          <w:szCs w:val="24"/>
        </w:rPr>
        <w:t xml:space="preserve">, the burden of proving the content of the foreign law rests with the parties; where the burden arises out of the </w:t>
      </w:r>
      <w:r w:rsidR="00B41E4A">
        <w:rPr>
          <w:rFonts w:ascii="Times New Roman" w:hAnsi="Times New Roman" w:cs="Times New Roman"/>
          <w:color w:val="4472C4" w:themeColor="accent1"/>
          <w:sz w:val="24"/>
          <w:szCs w:val="24"/>
        </w:rPr>
        <w:t>Lithuania</w:t>
      </w:r>
      <w:r w:rsidRPr="0002476F">
        <w:rPr>
          <w:rFonts w:ascii="Times New Roman" w:hAnsi="Times New Roman" w:cs="Times New Roman"/>
          <w:color w:val="4472C4" w:themeColor="accent1"/>
          <w:sz w:val="24"/>
          <w:szCs w:val="24"/>
        </w:rPr>
        <w:t>'s obligations under international treaties</w:t>
      </w:r>
      <w:r w:rsidR="009E1A88">
        <w:rPr>
          <w:rFonts w:ascii="Times New Roman" w:hAnsi="Times New Roman" w:cs="Times New Roman"/>
          <w:color w:val="4472C4" w:themeColor="accent1"/>
          <w:sz w:val="24"/>
          <w:szCs w:val="24"/>
        </w:rPr>
        <w:t>, EU law</w:t>
      </w:r>
      <w:r w:rsidRPr="0002476F">
        <w:rPr>
          <w:rFonts w:ascii="Times New Roman" w:hAnsi="Times New Roman" w:cs="Times New Roman"/>
          <w:color w:val="4472C4" w:themeColor="accent1"/>
          <w:sz w:val="24"/>
          <w:szCs w:val="24"/>
        </w:rPr>
        <w:t xml:space="preserve"> or under national law, it is </w:t>
      </w:r>
      <w:r w:rsidR="009E1A88">
        <w:rPr>
          <w:rFonts w:ascii="Times New Roman" w:hAnsi="Times New Roman" w:cs="Times New Roman"/>
          <w:color w:val="4472C4" w:themeColor="accent1"/>
          <w:sz w:val="24"/>
          <w:szCs w:val="24"/>
        </w:rPr>
        <w:t xml:space="preserve">for </w:t>
      </w:r>
      <w:r w:rsidRPr="0002476F">
        <w:rPr>
          <w:rFonts w:ascii="Times New Roman" w:hAnsi="Times New Roman" w:cs="Times New Roman"/>
          <w:color w:val="4472C4" w:themeColor="accent1"/>
          <w:sz w:val="24"/>
          <w:szCs w:val="24"/>
        </w:rPr>
        <w:t xml:space="preserve">the court </w:t>
      </w:r>
      <w:r w:rsidR="009E1A88">
        <w:rPr>
          <w:rFonts w:ascii="Times New Roman" w:hAnsi="Times New Roman" w:cs="Times New Roman"/>
          <w:color w:val="4472C4" w:themeColor="accent1"/>
          <w:sz w:val="24"/>
          <w:szCs w:val="24"/>
        </w:rPr>
        <w:t>to</w:t>
      </w:r>
      <w:r w:rsidRPr="0002476F">
        <w:rPr>
          <w:rFonts w:ascii="Times New Roman" w:hAnsi="Times New Roman" w:cs="Times New Roman"/>
          <w:color w:val="4472C4" w:themeColor="accent1"/>
          <w:sz w:val="24"/>
          <w:szCs w:val="24"/>
        </w:rPr>
        <w:t xml:space="preserve"> establish the content of foreign law.</w:t>
      </w:r>
      <w:r w:rsidR="006337C2" w:rsidRPr="0002476F">
        <w:rPr>
          <w:rFonts w:ascii="Times New Roman" w:hAnsi="Times New Roman" w:cs="Times New Roman"/>
          <w:color w:val="4472C4" w:themeColor="accent1"/>
          <w:sz w:val="24"/>
          <w:szCs w:val="24"/>
        </w:rPr>
        <w:t xml:space="preserve"> However, </w:t>
      </w:r>
      <w:r w:rsidR="00AD201F">
        <w:rPr>
          <w:rFonts w:ascii="Times New Roman" w:hAnsi="Times New Roman" w:cs="Times New Roman"/>
          <w:color w:val="4472C4" w:themeColor="accent1"/>
          <w:sz w:val="24"/>
          <w:szCs w:val="24"/>
        </w:rPr>
        <w:t xml:space="preserve">since </w:t>
      </w:r>
      <w:r w:rsidR="006337C2" w:rsidRPr="0002476F">
        <w:rPr>
          <w:rFonts w:ascii="Times New Roman" w:hAnsi="Times New Roman" w:cs="Times New Roman"/>
          <w:color w:val="4472C4" w:themeColor="accent1"/>
          <w:sz w:val="24"/>
          <w:szCs w:val="24"/>
        </w:rPr>
        <w:t xml:space="preserve">determining the content of foreign law </w:t>
      </w:r>
      <w:r w:rsidR="00AD201F">
        <w:rPr>
          <w:rFonts w:ascii="Times New Roman" w:hAnsi="Times New Roman" w:cs="Times New Roman"/>
          <w:color w:val="4472C4" w:themeColor="accent1"/>
          <w:sz w:val="24"/>
          <w:szCs w:val="24"/>
        </w:rPr>
        <w:t>(</w:t>
      </w:r>
      <w:r w:rsidR="006337C2" w:rsidRPr="0002476F">
        <w:rPr>
          <w:rFonts w:ascii="Times New Roman" w:hAnsi="Times New Roman" w:cs="Times New Roman"/>
          <w:color w:val="4472C4" w:themeColor="accent1"/>
          <w:sz w:val="24"/>
          <w:szCs w:val="24"/>
        </w:rPr>
        <w:t>through international cooperation, translations, etc.</w:t>
      </w:r>
      <w:r w:rsidR="00AD201F">
        <w:rPr>
          <w:rFonts w:ascii="Times New Roman" w:hAnsi="Times New Roman" w:cs="Times New Roman"/>
          <w:color w:val="4472C4" w:themeColor="accent1"/>
          <w:sz w:val="24"/>
          <w:szCs w:val="24"/>
        </w:rPr>
        <w:t>)</w:t>
      </w:r>
      <w:r w:rsidR="006337C2" w:rsidRPr="0002476F">
        <w:rPr>
          <w:rFonts w:ascii="Times New Roman" w:hAnsi="Times New Roman" w:cs="Times New Roman"/>
          <w:color w:val="4472C4" w:themeColor="accent1"/>
          <w:sz w:val="24"/>
          <w:szCs w:val="24"/>
        </w:rPr>
        <w:t xml:space="preserve"> can be extremely time-consuming</w:t>
      </w:r>
      <w:r w:rsidR="00AD201F">
        <w:rPr>
          <w:rFonts w:ascii="Times New Roman" w:hAnsi="Times New Roman" w:cs="Times New Roman"/>
          <w:color w:val="4472C4" w:themeColor="accent1"/>
          <w:sz w:val="24"/>
          <w:szCs w:val="24"/>
        </w:rPr>
        <w:t>,</w:t>
      </w:r>
      <w:r w:rsidR="006337C2" w:rsidRPr="0002476F">
        <w:rPr>
          <w:rFonts w:ascii="Times New Roman" w:hAnsi="Times New Roman" w:cs="Times New Roman"/>
          <w:color w:val="4472C4" w:themeColor="accent1"/>
          <w:sz w:val="24"/>
          <w:szCs w:val="24"/>
        </w:rPr>
        <w:t xml:space="preserve"> the Supreme Court suggests that</w:t>
      </w:r>
      <w:r w:rsidR="00AD201F">
        <w:rPr>
          <w:rFonts w:ascii="Times New Roman" w:hAnsi="Times New Roman" w:cs="Times New Roman"/>
          <w:color w:val="4472C4" w:themeColor="accent1"/>
          <w:sz w:val="24"/>
          <w:szCs w:val="24"/>
        </w:rPr>
        <w:t xml:space="preserve"> even where the duty to assert the content of foreign law rests on courts,</w:t>
      </w:r>
      <w:r w:rsidR="006337C2" w:rsidRPr="0002476F">
        <w:rPr>
          <w:rFonts w:ascii="Times New Roman" w:hAnsi="Times New Roman" w:cs="Times New Roman"/>
          <w:color w:val="4472C4" w:themeColor="accent1"/>
          <w:sz w:val="24"/>
          <w:szCs w:val="24"/>
        </w:rPr>
        <w:t xml:space="preserve"> the courts should clarify to the parties the possibility of submitting their evidence on the content of the foreign law</w:t>
      </w:r>
      <w:r w:rsidR="000C679D">
        <w:rPr>
          <w:rFonts w:ascii="Times New Roman" w:hAnsi="Times New Roman" w:cs="Times New Roman"/>
          <w:color w:val="4472C4" w:themeColor="accent1"/>
          <w:sz w:val="24"/>
          <w:szCs w:val="24"/>
        </w:rPr>
        <w:t>.</w:t>
      </w:r>
      <w:r w:rsidR="00AD201F" w:rsidRPr="0002476F">
        <w:rPr>
          <w:rStyle w:val="FootnoteReference"/>
          <w:rFonts w:cs="Times New Roman"/>
          <w:color w:val="4472C4" w:themeColor="accent1"/>
          <w:sz w:val="24"/>
          <w:szCs w:val="24"/>
        </w:rPr>
        <w:footnoteReference w:id="42"/>
      </w:r>
    </w:p>
    <w:p w14:paraId="473EB7C5" w14:textId="65081E69" w:rsidR="006337C2" w:rsidRPr="0002476F" w:rsidRDefault="00AD201F" w:rsidP="006337C2">
      <w:pPr>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T</w:t>
      </w:r>
      <w:r w:rsidR="006337C2" w:rsidRPr="0002476F">
        <w:rPr>
          <w:rFonts w:ascii="Times New Roman" w:hAnsi="Times New Roman" w:cs="Times New Roman"/>
          <w:color w:val="4472C4" w:themeColor="accent1"/>
          <w:sz w:val="24"/>
          <w:szCs w:val="24"/>
        </w:rPr>
        <w:t>he Supreme Court</w:t>
      </w:r>
      <w:r w:rsidR="000C679D">
        <w:rPr>
          <w:rFonts w:ascii="Times New Roman" w:hAnsi="Times New Roman" w:cs="Times New Roman"/>
          <w:color w:val="4472C4" w:themeColor="accent1"/>
          <w:sz w:val="24"/>
          <w:szCs w:val="24"/>
        </w:rPr>
        <w:t xml:space="preserve"> </w:t>
      </w:r>
      <w:r>
        <w:rPr>
          <w:rFonts w:ascii="Times New Roman" w:hAnsi="Times New Roman" w:cs="Times New Roman"/>
          <w:color w:val="4472C4" w:themeColor="accent1"/>
          <w:sz w:val="24"/>
          <w:szCs w:val="24"/>
        </w:rPr>
        <w:t>lists</w:t>
      </w:r>
      <w:r w:rsidR="006337C2" w:rsidRPr="0002476F">
        <w:rPr>
          <w:rFonts w:ascii="Times New Roman" w:hAnsi="Times New Roman" w:cs="Times New Roman"/>
          <w:color w:val="4472C4" w:themeColor="accent1"/>
          <w:sz w:val="24"/>
          <w:szCs w:val="24"/>
        </w:rPr>
        <w:t xml:space="preserve"> the following ways in which a court can obtain information about the content of foreign law</w:t>
      </w:r>
      <w:r w:rsidRPr="0002476F">
        <w:rPr>
          <w:rStyle w:val="FootnoteReference"/>
          <w:rFonts w:cs="Times New Roman"/>
          <w:color w:val="4472C4" w:themeColor="accent1"/>
          <w:sz w:val="24"/>
          <w:szCs w:val="24"/>
        </w:rPr>
        <w:footnoteReference w:id="43"/>
      </w:r>
      <w:r w:rsidR="006337C2" w:rsidRPr="0002476F">
        <w:rPr>
          <w:rFonts w:ascii="Times New Roman" w:hAnsi="Times New Roman" w:cs="Times New Roman"/>
          <w:color w:val="4472C4" w:themeColor="accent1"/>
          <w:sz w:val="24"/>
          <w:szCs w:val="24"/>
        </w:rPr>
        <w:t xml:space="preserve">: </w:t>
      </w:r>
    </w:p>
    <w:p w14:paraId="4E346F2E" w14:textId="79FB8FAE" w:rsidR="006337C2" w:rsidRPr="0002476F" w:rsidRDefault="006337C2" w:rsidP="00AD201F">
      <w:pPr>
        <w:pStyle w:val="ListParagraph"/>
        <w:numPr>
          <w:ilvl w:val="0"/>
          <w:numId w:val="21"/>
        </w:numPr>
        <w:jc w:val="both"/>
        <w:rPr>
          <w:rFonts w:ascii="Times New Roman" w:hAnsi="Times New Roman" w:cs="Times New Roman"/>
          <w:color w:val="4472C4" w:themeColor="accent1"/>
          <w:sz w:val="24"/>
          <w:szCs w:val="24"/>
        </w:rPr>
      </w:pPr>
      <w:r w:rsidRPr="0002476F">
        <w:rPr>
          <w:rFonts w:ascii="Times New Roman" w:hAnsi="Times New Roman" w:cs="Times New Roman"/>
          <w:color w:val="4472C4" w:themeColor="accent1"/>
          <w:sz w:val="24"/>
          <w:szCs w:val="24"/>
        </w:rPr>
        <w:t xml:space="preserve">Information on the legal systems of the </w:t>
      </w:r>
      <w:r w:rsidR="0031609A">
        <w:rPr>
          <w:rFonts w:ascii="Times New Roman" w:hAnsi="Times New Roman" w:cs="Times New Roman"/>
          <w:color w:val="4472C4" w:themeColor="accent1"/>
          <w:sz w:val="24"/>
          <w:szCs w:val="24"/>
        </w:rPr>
        <w:t xml:space="preserve">EU </w:t>
      </w:r>
      <w:r w:rsidRPr="0002476F">
        <w:rPr>
          <w:rFonts w:ascii="Times New Roman" w:hAnsi="Times New Roman" w:cs="Times New Roman"/>
          <w:color w:val="4472C4" w:themeColor="accent1"/>
          <w:sz w:val="24"/>
          <w:szCs w:val="24"/>
        </w:rPr>
        <w:t>Member States is available on the European e-Justice Portal. By logging on to this website and selecting the area of interest (for example, in divorce cases, selecting ‘Going to court’ and ‘Divorce’), the specific country whose law is to be consulted is then selected;</w:t>
      </w:r>
    </w:p>
    <w:p w14:paraId="5F707374" w14:textId="510DA658" w:rsidR="006337C2" w:rsidRPr="0002476F" w:rsidRDefault="006337C2" w:rsidP="00AD201F">
      <w:pPr>
        <w:pStyle w:val="ListParagraph"/>
        <w:numPr>
          <w:ilvl w:val="0"/>
          <w:numId w:val="21"/>
        </w:numPr>
        <w:jc w:val="both"/>
        <w:rPr>
          <w:rFonts w:ascii="Times New Roman" w:hAnsi="Times New Roman" w:cs="Times New Roman"/>
          <w:color w:val="4472C4" w:themeColor="accent1"/>
          <w:sz w:val="24"/>
          <w:szCs w:val="24"/>
        </w:rPr>
      </w:pPr>
      <w:r w:rsidRPr="0002476F">
        <w:rPr>
          <w:rFonts w:ascii="Times New Roman" w:hAnsi="Times New Roman" w:cs="Times New Roman"/>
          <w:color w:val="4472C4" w:themeColor="accent1"/>
          <w:sz w:val="24"/>
          <w:szCs w:val="24"/>
        </w:rPr>
        <w:t xml:space="preserve">Information on the content of foreign law can be obtained in accordance with the provisions of the 1968 European Convention on Information on Foreign Law; </w:t>
      </w:r>
    </w:p>
    <w:p w14:paraId="0EA18A6D" w14:textId="45764FEA" w:rsidR="006337C2" w:rsidRPr="0002476F" w:rsidRDefault="006337C2" w:rsidP="00AD201F">
      <w:pPr>
        <w:pStyle w:val="ListParagraph"/>
        <w:numPr>
          <w:ilvl w:val="0"/>
          <w:numId w:val="21"/>
        </w:numPr>
        <w:jc w:val="both"/>
        <w:rPr>
          <w:rFonts w:ascii="Times New Roman" w:hAnsi="Times New Roman" w:cs="Times New Roman"/>
          <w:color w:val="4472C4" w:themeColor="accent1"/>
          <w:sz w:val="24"/>
          <w:szCs w:val="24"/>
        </w:rPr>
      </w:pPr>
      <w:r w:rsidRPr="0002476F">
        <w:rPr>
          <w:rFonts w:ascii="Times New Roman" w:hAnsi="Times New Roman" w:cs="Times New Roman"/>
          <w:color w:val="4472C4" w:themeColor="accent1"/>
          <w:sz w:val="24"/>
          <w:szCs w:val="24"/>
        </w:rPr>
        <w:t xml:space="preserve">The content of the law of a foreign </w:t>
      </w:r>
      <w:r w:rsidR="00B41E4A">
        <w:rPr>
          <w:rFonts w:ascii="Times New Roman" w:hAnsi="Times New Roman" w:cs="Times New Roman"/>
          <w:color w:val="4472C4" w:themeColor="accent1"/>
          <w:sz w:val="24"/>
          <w:szCs w:val="24"/>
        </w:rPr>
        <w:t>s</w:t>
      </w:r>
      <w:r w:rsidRPr="0002476F">
        <w:rPr>
          <w:rFonts w:ascii="Times New Roman" w:hAnsi="Times New Roman" w:cs="Times New Roman"/>
          <w:color w:val="4472C4" w:themeColor="accent1"/>
          <w:sz w:val="24"/>
          <w:szCs w:val="24"/>
        </w:rPr>
        <w:t>tate with which an international legal assistance treaty has been concluded can be obtained through the legal aid assistance provided for in the treaty (if the treaty also includes the provision of information on the law in force in the country);</w:t>
      </w:r>
    </w:p>
    <w:p w14:paraId="66484226" w14:textId="6B6E80AA" w:rsidR="006337C2" w:rsidRPr="0002476F" w:rsidRDefault="006337C2" w:rsidP="00AD201F">
      <w:pPr>
        <w:pStyle w:val="ListParagraph"/>
        <w:numPr>
          <w:ilvl w:val="0"/>
          <w:numId w:val="21"/>
        </w:numPr>
        <w:jc w:val="both"/>
        <w:rPr>
          <w:rFonts w:ascii="Times New Roman" w:hAnsi="Times New Roman" w:cs="Times New Roman"/>
          <w:color w:val="4472C4" w:themeColor="accent1"/>
          <w:sz w:val="24"/>
          <w:szCs w:val="24"/>
        </w:rPr>
      </w:pPr>
      <w:r w:rsidRPr="0002476F">
        <w:rPr>
          <w:rFonts w:ascii="Times New Roman" w:hAnsi="Times New Roman" w:cs="Times New Roman"/>
          <w:color w:val="4472C4" w:themeColor="accent1"/>
          <w:sz w:val="24"/>
          <w:szCs w:val="24"/>
        </w:rPr>
        <w:t xml:space="preserve">In cases where Lithuania and the </w:t>
      </w:r>
      <w:r w:rsidR="00B41E4A">
        <w:rPr>
          <w:rFonts w:ascii="Times New Roman" w:hAnsi="Times New Roman" w:cs="Times New Roman"/>
          <w:color w:val="4472C4" w:themeColor="accent1"/>
          <w:sz w:val="24"/>
          <w:szCs w:val="24"/>
        </w:rPr>
        <w:t>s</w:t>
      </w:r>
      <w:r w:rsidRPr="0002476F">
        <w:rPr>
          <w:rFonts w:ascii="Times New Roman" w:hAnsi="Times New Roman" w:cs="Times New Roman"/>
          <w:color w:val="4472C4" w:themeColor="accent1"/>
          <w:sz w:val="24"/>
          <w:szCs w:val="24"/>
        </w:rPr>
        <w:t xml:space="preserve">tate whose content of law is to be determined are not bound by any international </w:t>
      </w:r>
      <w:r w:rsidR="0031609A">
        <w:rPr>
          <w:rFonts w:ascii="Times New Roman" w:hAnsi="Times New Roman" w:cs="Times New Roman"/>
          <w:color w:val="4472C4" w:themeColor="accent1"/>
          <w:sz w:val="24"/>
          <w:szCs w:val="24"/>
        </w:rPr>
        <w:t>agreement</w:t>
      </w:r>
      <w:r w:rsidRPr="0002476F">
        <w:rPr>
          <w:rFonts w:ascii="Times New Roman" w:hAnsi="Times New Roman" w:cs="Times New Roman"/>
          <w:color w:val="4472C4" w:themeColor="accent1"/>
          <w:sz w:val="24"/>
          <w:szCs w:val="24"/>
        </w:rPr>
        <w:t xml:space="preserve">, the court may apply to the competent </w:t>
      </w:r>
      <w:r w:rsidRPr="0002476F">
        <w:rPr>
          <w:rFonts w:ascii="Times New Roman" w:hAnsi="Times New Roman" w:cs="Times New Roman"/>
          <w:color w:val="4472C4" w:themeColor="accent1"/>
          <w:sz w:val="24"/>
          <w:szCs w:val="24"/>
        </w:rPr>
        <w:lastRenderedPageBreak/>
        <w:t xml:space="preserve">authority of the foreign </w:t>
      </w:r>
      <w:r w:rsidR="0031609A">
        <w:rPr>
          <w:rFonts w:ascii="Times New Roman" w:hAnsi="Times New Roman" w:cs="Times New Roman"/>
          <w:color w:val="4472C4" w:themeColor="accent1"/>
          <w:sz w:val="24"/>
          <w:szCs w:val="24"/>
        </w:rPr>
        <w:t>s</w:t>
      </w:r>
      <w:r w:rsidRPr="0002476F">
        <w:rPr>
          <w:rFonts w:ascii="Times New Roman" w:hAnsi="Times New Roman" w:cs="Times New Roman"/>
          <w:color w:val="4472C4" w:themeColor="accent1"/>
          <w:sz w:val="24"/>
          <w:szCs w:val="24"/>
        </w:rPr>
        <w:t xml:space="preserve">tate in accordance with the procedure laid down in Articles 801 to 803 of the Code of Civil Procedure. </w:t>
      </w:r>
    </w:p>
    <w:p w14:paraId="13B3551D" w14:textId="7CB1F95B" w:rsidR="006337C2" w:rsidRPr="0002476F" w:rsidRDefault="006337C2" w:rsidP="00AD201F">
      <w:pPr>
        <w:pStyle w:val="ListParagraph"/>
        <w:numPr>
          <w:ilvl w:val="0"/>
          <w:numId w:val="21"/>
        </w:numPr>
        <w:jc w:val="both"/>
        <w:rPr>
          <w:rFonts w:ascii="Times New Roman" w:hAnsi="Times New Roman" w:cs="Times New Roman"/>
          <w:color w:val="4472C4" w:themeColor="accent1"/>
          <w:sz w:val="24"/>
          <w:szCs w:val="24"/>
        </w:rPr>
      </w:pPr>
      <w:r w:rsidRPr="0002476F">
        <w:rPr>
          <w:rFonts w:ascii="Times New Roman" w:hAnsi="Times New Roman" w:cs="Times New Roman"/>
          <w:color w:val="4472C4" w:themeColor="accent1"/>
          <w:sz w:val="24"/>
          <w:szCs w:val="24"/>
        </w:rPr>
        <w:t>The court may request the competent foreign authority (for example, a court) to provide information on the basis of goodwill.</w:t>
      </w:r>
    </w:p>
    <w:p w14:paraId="5AEBD84E" w14:textId="77777777" w:rsidR="00BD0DC7" w:rsidRPr="00BD0DC7" w:rsidRDefault="00BD0DC7" w:rsidP="002E3532">
      <w:pPr>
        <w:jc w:val="both"/>
        <w:rPr>
          <w:rFonts w:ascii="Times New Roman" w:hAnsi="Times New Roman" w:cs="Times New Roman"/>
          <w:color w:val="4472C4" w:themeColor="accent1"/>
        </w:rPr>
      </w:pPr>
    </w:p>
    <w:p w14:paraId="7166BE3A" w14:textId="31CE0ED7" w:rsidR="00EF35A8" w:rsidRDefault="00EF35A8" w:rsidP="008A76E4">
      <w:pPr>
        <w:pStyle w:val="ListParagraph"/>
        <w:numPr>
          <w:ilvl w:val="0"/>
          <w:numId w:val="8"/>
        </w:numPr>
        <w:jc w:val="both"/>
        <w:rPr>
          <w:rFonts w:ascii="Times New Roman" w:hAnsi="Times New Roman" w:cs="Times New Roman"/>
        </w:rPr>
      </w:pPr>
      <w:r w:rsidRPr="00C544E3">
        <w:rPr>
          <w:rFonts w:ascii="Times New Roman" w:hAnsi="Times New Roman" w:cs="Times New Roman"/>
        </w:rPr>
        <w:t xml:space="preserve">If you are aware of case(s) where UK law (either the law of England and Wales or Scots law) was the applicable law, how did the court(s) interpret the said UK law? </w:t>
      </w:r>
    </w:p>
    <w:p w14:paraId="2CB2C814" w14:textId="77777777" w:rsidR="0031609A" w:rsidRDefault="0031609A" w:rsidP="006E5174">
      <w:pPr>
        <w:jc w:val="both"/>
        <w:rPr>
          <w:rFonts w:ascii="Times New Roman" w:hAnsi="Times New Roman" w:cs="Times New Roman"/>
          <w:color w:val="4472C4" w:themeColor="accent1"/>
          <w:sz w:val="24"/>
          <w:szCs w:val="24"/>
        </w:rPr>
      </w:pPr>
    </w:p>
    <w:p w14:paraId="491C2120" w14:textId="71823EDE" w:rsidR="006E5174" w:rsidRPr="0031609A" w:rsidRDefault="0031609A" w:rsidP="006E5174">
      <w:pPr>
        <w:jc w:val="both"/>
        <w:rPr>
          <w:rFonts w:ascii="Times New Roman" w:hAnsi="Times New Roman" w:cs="Times New Roman"/>
          <w:color w:val="4472C4" w:themeColor="accent1"/>
          <w:sz w:val="24"/>
          <w:szCs w:val="24"/>
        </w:rPr>
      </w:pPr>
      <w:r w:rsidRPr="0031609A">
        <w:rPr>
          <w:rFonts w:ascii="Times New Roman" w:hAnsi="Times New Roman" w:cs="Times New Roman"/>
          <w:color w:val="4472C4" w:themeColor="accent1"/>
          <w:sz w:val="24"/>
          <w:szCs w:val="24"/>
        </w:rPr>
        <w:t xml:space="preserve">I was not able to identify any family law case where UK law would be applied. </w:t>
      </w:r>
    </w:p>
    <w:p w14:paraId="4D518FA0" w14:textId="77777777" w:rsidR="006337C2" w:rsidRPr="006E5174" w:rsidRDefault="006337C2" w:rsidP="006E5174">
      <w:pPr>
        <w:jc w:val="both"/>
        <w:rPr>
          <w:rFonts w:ascii="Times New Roman" w:hAnsi="Times New Roman" w:cs="Times New Roman"/>
        </w:rPr>
      </w:pPr>
    </w:p>
    <w:p w14:paraId="46DC1F1F" w14:textId="52F4B30A" w:rsidR="00EF35A8" w:rsidRDefault="00EF35A8" w:rsidP="008A76E4">
      <w:pPr>
        <w:pStyle w:val="ListParagraph"/>
        <w:numPr>
          <w:ilvl w:val="0"/>
          <w:numId w:val="8"/>
        </w:numPr>
        <w:jc w:val="both"/>
        <w:rPr>
          <w:rFonts w:ascii="Times New Roman" w:hAnsi="Times New Roman" w:cs="Times New Roman"/>
        </w:rPr>
      </w:pPr>
      <w:r w:rsidRPr="00C544E3">
        <w:rPr>
          <w:rFonts w:ascii="Times New Roman" w:hAnsi="Times New Roman" w:cs="Times New Roman"/>
        </w:rPr>
        <w:t xml:space="preserve">In the same context, do you consider the </w:t>
      </w:r>
      <w:r w:rsidR="003E6D38" w:rsidRPr="00C544E3">
        <w:rPr>
          <w:rFonts w:ascii="Times New Roman" w:hAnsi="Times New Roman" w:cs="Times New Roman"/>
        </w:rPr>
        <w:t xml:space="preserve">Convention of 18 March 1970 on the Taking of Evidence Abroad in Civil or Commercial Matters </w:t>
      </w:r>
      <w:r w:rsidR="00527BAD" w:rsidRPr="00C544E3">
        <w:rPr>
          <w:rFonts w:ascii="Times New Roman" w:hAnsi="Times New Roman" w:cs="Times New Roman"/>
        </w:rPr>
        <w:t>and/or the</w:t>
      </w:r>
      <w:r w:rsidR="00527BAD" w:rsidRPr="00C544E3">
        <w:t xml:space="preserve"> 1968 </w:t>
      </w:r>
      <w:r w:rsidR="00527BAD" w:rsidRPr="00C544E3">
        <w:rPr>
          <w:rFonts w:ascii="Times New Roman" w:hAnsi="Times New Roman" w:cs="Times New Roman"/>
        </w:rPr>
        <w:t xml:space="preserve">European Convention on Information on Foreign Law (‘the London Convention’) </w:t>
      </w:r>
      <w:r w:rsidR="003E6D38" w:rsidRPr="00C544E3">
        <w:rPr>
          <w:rFonts w:ascii="Times New Roman" w:hAnsi="Times New Roman" w:cs="Times New Roman"/>
        </w:rPr>
        <w:t>to be a useful tool?</w:t>
      </w:r>
    </w:p>
    <w:p w14:paraId="187735D4" w14:textId="77777777" w:rsidR="0031609A" w:rsidRDefault="0031609A" w:rsidP="003F4CE6">
      <w:pPr>
        <w:jc w:val="both"/>
        <w:rPr>
          <w:rFonts w:ascii="Times New Roman" w:hAnsi="Times New Roman" w:cs="Times New Roman"/>
          <w:color w:val="4472C4" w:themeColor="accent1"/>
        </w:rPr>
      </w:pPr>
    </w:p>
    <w:p w14:paraId="62A2B6BB" w14:textId="4093860C" w:rsidR="0087575C" w:rsidRPr="0031609A" w:rsidRDefault="00C35206" w:rsidP="003F4CE6">
      <w:pPr>
        <w:jc w:val="both"/>
        <w:rPr>
          <w:rFonts w:ascii="Times New Roman" w:hAnsi="Times New Roman" w:cs="Times New Roman"/>
          <w:color w:val="4472C4" w:themeColor="accent1"/>
          <w:sz w:val="24"/>
          <w:szCs w:val="24"/>
        </w:rPr>
      </w:pPr>
      <w:r w:rsidRPr="0031609A">
        <w:rPr>
          <w:rFonts w:ascii="Times New Roman" w:hAnsi="Times New Roman" w:cs="Times New Roman"/>
          <w:color w:val="4472C4" w:themeColor="accent1"/>
          <w:sz w:val="24"/>
          <w:szCs w:val="24"/>
        </w:rPr>
        <w:t xml:space="preserve">In 2022, </w:t>
      </w:r>
      <w:r w:rsidR="0087575C" w:rsidRPr="0031609A">
        <w:rPr>
          <w:rFonts w:ascii="Times New Roman" w:hAnsi="Times New Roman" w:cs="Times New Roman"/>
          <w:color w:val="4472C4" w:themeColor="accent1"/>
          <w:sz w:val="24"/>
          <w:szCs w:val="24"/>
        </w:rPr>
        <w:t>1970</w:t>
      </w:r>
      <w:r w:rsidR="003F4CE6" w:rsidRPr="0031609A">
        <w:rPr>
          <w:rFonts w:ascii="Times New Roman" w:hAnsi="Times New Roman" w:cs="Times New Roman"/>
          <w:color w:val="4472C4" w:themeColor="accent1"/>
          <w:sz w:val="24"/>
          <w:szCs w:val="24"/>
        </w:rPr>
        <w:t xml:space="preserve"> </w:t>
      </w:r>
      <w:r w:rsidR="0087575C" w:rsidRPr="0031609A">
        <w:rPr>
          <w:rFonts w:ascii="Times New Roman" w:hAnsi="Times New Roman" w:cs="Times New Roman"/>
          <w:color w:val="4472C4" w:themeColor="accent1"/>
          <w:sz w:val="24"/>
          <w:szCs w:val="24"/>
        </w:rPr>
        <w:t>C</w:t>
      </w:r>
      <w:r w:rsidR="003F4CE6" w:rsidRPr="0031609A">
        <w:rPr>
          <w:rFonts w:ascii="Times New Roman" w:hAnsi="Times New Roman" w:cs="Times New Roman"/>
          <w:color w:val="4472C4" w:themeColor="accent1"/>
          <w:sz w:val="24"/>
          <w:szCs w:val="24"/>
        </w:rPr>
        <w:t>onvention was mentioned by Lithuanian court</w:t>
      </w:r>
      <w:r w:rsidR="0031609A">
        <w:rPr>
          <w:rFonts w:ascii="Times New Roman" w:hAnsi="Times New Roman" w:cs="Times New Roman"/>
          <w:color w:val="4472C4" w:themeColor="accent1"/>
          <w:sz w:val="24"/>
          <w:szCs w:val="24"/>
        </w:rPr>
        <w:t>s</w:t>
      </w:r>
      <w:r w:rsidR="003F4CE6" w:rsidRPr="0031609A">
        <w:rPr>
          <w:rFonts w:ascii="Times New Roman" w:hAnsi="Times New Roman" w:cs="Times New Roman"/>
          <w:color w:val="4472C4" w:themeColor="accent1"/>
          <w:sz w:val="24"/>
          <w:szCs w:val="24"/>
        </w:rPr>
        <w:t xml:space="preserve"> in cases where evidence was needed from Switzerland</w:t>
      </w:r>
      <w:r w:rsidRPr="0031609A">
        <w:rPr>
          <w:rFonts w:ascii="Times New Roman" w:hAnsi="Times New Roman" w:cs="Times New Roman"/>
          <w:color w:val="4472C4" w:themeColor="accent1"/>
          <w:sz w:val="24"/>
          <w:szCs w:val="24"/>
        </w:rPr>
        <w:t xml:space="preserve"> and from Turkey</w:t>
      </w:r>
      <w:r w:rsidR="00AB094A" w:rsidRPr="0031609A">
        <w:rPr>
          <w:rFonts w:ascii="Times New Roman" w:hAnsi="Times New Roman" w:cs="Times New Roman"/>
          <w:color w:val="4472C4" w:themeColor="accent1"/>
          <w:sz w:val="24"/>
          <w:szCs w:val="24"/>
        </w:rPr>
        <w:t xml:space="preserve"> (the cases are not family law cases)</w:t>
      </w:r>
      <w:r w:rsidRPr="0031609A">
        <w:rPr>
          <w:rFonts w:ascii="Times New Roman" w:hAnsi="Times New Roman" w:cs="Times New Roman"/>
          <w:color w:val="4472C4" w:themeColor="accent1"/>
          <w:sz w:val="24"/>
          <w:szCs w:val="24"/>
        </w:rPr>
        <w:t xml:space="preserve">. </w:t>
      </w:r>
      <w:r w:rsidR="0087575C" w:rsidRPr="0031609A">
        <w:rPr>
          <w:rFonts w:ascii="Times New Roman" w:hAnsi="Times New Roman" w:cs="Times New Roman"/>
          <w:color w:val="4472C4" w:themeColor="accent1"/>
          <w:sz w:val="24"/>
          <w:szCs w:val="24"/>
        </w:rPr>
        <w:t>In earlier cases</w:t>
      </w:r>
      <w:r w:rsidR="00120AE0">
        <w:rPr>
          <w:rFonts w:ascii="Times New Roman" w:hAnsi="Times New Roman" w:cs="Times New Roman"/>
          <w:color w:val="4472C4" w:themeColor="accent1"/>
          <w:sz w:val="24"/>
          <w:szCs w:val="24"/>
        </w:rPr>
        <w:t>,</w:t>
      </w:r>
      <w:r w:rsidR="00120AE0" w:rsidRPr="00120AE0">
        <w:rPr>
          <w:rFonts w:ascii="Times New Roman" w:hAnsi="Times New Roman" w:cs="Times New Roman"/>
          <w:color w:val="4472C4" w:themeColor="accent1"/>
          <w:sz w:val="24"/>
          <w:szCs w:val="24"/>
        </w:rPr>
        <w:t xml:space="preserve"> </w:t>
      </w:r>
      <w:r w:rsidR="00120AE0" w:rsidRPr="0031609A">
        <w:rPr>
          <w:rFonts w:ascii="Times New Roman" w:hAnsi="Times New Roman" w:cs="Times New Roman"/>
          <w:color w:val="4472C4" w:themeColor="accent1"/>
          <w:sz w:val="24"/>
          <w:szCs w:val="24"/>
        </w:rPr>
        <w:t>on the basis of this Convention</w:t>
      </w:r>
      <w:r w:rsidR="00120AE0">
        <w:rPr>
          <w:rFonts w:ascii="Times New Roman" w:hAnsi="Times New Roman" w:cs="Times New Roman"/>
          <w:color w:val="4472C4" w:themeColor="accent1"/>
          <w:sz w:val="24"/>
          <w:szCs w:val="24"/>
        </w:rPr>
        <w:t xml:space="preserve"> several</w:t>
      </w:r>
      <w:r w:rsidR="0087575C" w:rsidRPr="0031609A">
        <w:rPr>
          <w:rFonts w:ascii="Times New Roman" w:hAnsi="Times New Roman" w:cs="Times New Roman"/>
          <w:color w:val="4472C4" w:themeColor="accent1"/>
          <w:sz w:val="24"/>
          <w:szCs w:val="24"/>
        </w:rPr>
        <w:t xml:space="preserve"> </w:t>
      </w:r>
      <w:r w:rsidR="00AD201F">
        <w:rPr>
          <w:rFonts w:ascii="Times New Roman" w:hAnsi="Times New Roman" w:cs="Times New Roman"/>
          <w:color w:val="4472C4" w:themeColor="accent1"/>
          <w:sz w:val="24"/>
          <w:szCs w:val="24"/>
        </w:rPr>
        <w:t xml:space="preserve">other </w:t>
      </w:r>
      <w:r w:rsidR="0087575C" w:rsidRPr="0031609A">
        <w:rPr>
          <w:rFonts w:ascii="Times New Roman" w:hAnsi="Times New Roman" w:cs="Times New Roman"/>
          <w:color w:val="4472C4" w:themeColor="accent1"/>
          <w:sz w:val="24"/>
          <w:szCs w:val="24"/>
        </w:rPr>
        <w:t xml:space="preserve">requests for legal </w:t>
      </w:r>
      <w:r w:rsidR="0031609A">
        <w:rPr>
          <w:rFonts w:ascii="Times New Roman" w:hAnsi="Times New Roman" w:cs="Times New Roman"/>
          <w:color w:val="4472C4" w:themeColor="accent1"/>
          <w:sz w:val="24"/>
          <w:szCs w:val="24"/>
        </w:rPr>
        <w:t>assistance</w:t>
      </w:r>
      <w:r w:rsidR="0087575C" w:rsidRPr="0031609A">
        <w:rPr>
          <w:rFonts w:ascii="Times New Roman" w:hAnsi="Times New Roman" w:cs="Times New Roman"/>
          <w:color w:val="4472C4" w:themeColor="accent1"/>
          <w:sz w:val="24"/>
          <w:szCs w:val="24"/>
        </w:rPr>
        <w:t xml:space="preserve"> have been made to foreign ministries.</w:t>
      </w:r>
      <w:r w:rsidR="0087575C" w:rsidRPr="0031609A">
        <w:rPr>
          <w:rStyle w:val="FootnoteReference"/>
          <w:rFonts w:ascii="Times New Roman" w:hAnsi="Times New Roman" w:cs="Times New Roman"/>
          <w:color w:val="4472C4" w:themeColor="accent1"/>
          <w:sz w:val="24"/>
          <w:szCs w:val="24"/>
        </w:rPr>
        <w:footnoteReference w:id="44"/>
      </w:r>
      <w:r w:rsidR="0087575C" w:rsidRPr="0031609A">
        <w:rPr>
          <w:rFonts w:ascii="Times New Roman" w:hAnsi="Times New Roman" w:cs="Times New Roman"/>
          <w:color w:val="4472C4" w:themeColor="accent1"/>
          <w:sz w:val="24"/>
          <w:szCs w:val="24"/>
        </w:rPr>
        <w:t xml:space="preserve"> It is hard to identify from the case law how useful this </w:t>
      </w:r>
      <w:r w:rsidR="00C53DC4">
        <w:rPr>
          <w:rFonts w:ascii="Times New Roman" w:hAnsi="Times New Roman" w:cs="Times New Roman"/>
          <w:color w:val="4472C4" w:themeColor="accent1"/>
          <w:sz w:val="24"/>
          <w:szCs w:val="24"/>
        </w:rPr>
        <w:t>C</w:t>
      </w:r>
      <w:r w:rsidR="0087575C" w:rsidRPr="0031609A">
        <w:rPr>
          <w:rFonts w:ascii="Times New Roman" w:hAnsi="Times New Roman" w:cs="Times New Roman"/>
          <w:color w:val="4472C4" w:themeColor="accent1"/>
          <w:sz w:val="24"/>
          <w:szCs w:val="24"/>
        </w:rPr>
        <w:t>onvention was in practice</w:t>
      </w:r>
      <w:r w:rsidR="00120AE0">
        <w:rPr>
          <w:rFonts w:ascii="Times New Roman" w:hAnsi="Times New Roman" w:cs="Times New Roman"/>
          <w:color w:val="4472C4" w:themeColor="accent1"/>
          <w:sz w:val="24"/>
          <w:szCs w:val="24"/>
        </w:rPr>
        <w:t xml:space="preserve"> (court decisions are not detailed in this regard)</w:t>
      </w:r>
      <w:r w:rsidR="0087575C" w:rsidRPr="0031609A">
        <w:rPr>
          <w:rFonts w:ascii="Times New Roman" w:hAnsi="Times New Roman" w:cs="Times New Roman"/>
          <w:color w:val="4472C4" w:themeColor="accent1"/>
          <w:sz w:val="24"/>
          <w:szCs w:val="24"/>
        </w:rPr>
        <w:t xml:space="preserve">, but </w:t>
      </w:r>
      <w:r w:rsidR="00120AE0">
        <w:rPr>
          <w:rFonts w:ascii="Times New Roman" w:hAnsi="Times New Roman" w:cs="Times New Roman"/>
          <w:color w:val="4472C4" w:themeColor="accent1"/>
          <w:sz w:val="24"/>
          <w:szCs w:val="24"/>
        </w:rPr>
        <w:t>they show that this Convention</w:t>
      </w:r>
      <w:r w:rsidR="0087575C" w:rsidRPr="0031609A">
        <w:rPr>
          <w:rFonts w:ascii="Times New Roman" w:hAnsi="Times New Roman" w:cs="Times New Roman"/>
          <w:color w:val="4472C4" w:themeColor="accent1"/>
          <w:sz w:val="24"/>
          <w:szCs w:val="24"/>
        </w:rPr>
        <w:t xml:space="preserve"> is being used from time to time.</w:t>
      </w:r>
    </w:p>
    <w:p w14:paraId="6B94A90A" w14:textId="6906D10E" w:rsidR="0087575C" w:rsidRPr="0031609A" w:rsidRDefault="0087575C" w:rsidP="003F4CE6">
      <w:pPr>
        <w:jc w:val="both"/>
        <w:rPr>
          <w:rFonts w:ascii="Times New Roman" w:hAnsi="Times New Roman" w:cs="Times New Roman"/>
          <w:color w:val="4472C4" w:themeColor="accent1"/>
          <w:sz w:val="24"/>
          <w:szCs w:val="24"/>
          <w:lang w:val="lt-LT"/>
        </w:rPr>
      </w:pPr>
      <w:r w:rsidRPr="0031609A">
        <w:rPr>
          <w:rFonts w:ascii="Times New Roman" w:hAnsi="Times New Roman" w:cs="Times New Roman"/>
          <w:color w:val="4472C4" w:themeColor="accent1"/>
          <w:sz w:val="24"/>
          <w:szCs w:val="24"/>
        </w:rPr>
        <w:t>Similarly, Lithuanian court</w:t>
      </w:r>
      <w:r w:rsidR="00120AE0">
        <w:rPr>
          <w:rFonts w:ascii="Times New Roman" w:hAnsi="Times New Roman" w:cs="Times New Roman"/>
          <w:color w:val="4472C4" w:themeColor="accent1"/>
          <w:sz w:val="24"/>
          <w:szCs w:val="24"/>
        </w:rPr>
        <w:t>s from time to time</w:t>
      </w:r>
      <w:r w:rsidRPr="0031609A">
        <w:rPr>
          <w:rFonts w:ascii="Times New Roman" w:hAnsi="Times New Roman" w:cs="Times New Roman"/>
          <w:color w:val="4472C4" w:themeColor="accent1"/>
          <w:sz w:val="24"/>
          <w:szCs w:val="24"/>
        </w:rPr>
        <w:t xml:space="preserve"> also </w:t>
      </w:r>
      <w:r w:rsidR="00C53DC4">
        <w:rPr>
          <w:rFonts w:ascii="Times New Roman" w:hAnsi="Times New Roman" w:cs="Times New Roman"/>
          <w:color w:val="4472C4" w:themeColor="accent1"/>
          <w:sz w:val="24"/>
          <w:szCs w:val="24"/>
        </w:rPr>
        <w:t>refer to</w:t>
      </w:r>
      <w:r w:rsidRPr="0031609A">
        <w:rPr>
          <w:rFonts w:ascii="Times New Roman" w:hAnsi="Times New Roman" w:cs="Times New Roman"/>
          <w:color w:val="4472C4" w:themeColor="accent1"/>
          <w:sz w:val="24"/>
          <w:szCs w:val="24"/>
        </w:rPr>
        <w:t xml:space="preserve"> the 1968 Convention</w:t>
      </w:r>
      <w:r w:rsidR="00C53DC4">
        <w:rPr>
          <w:rFonts w:ascii="Times New Roman" w:hAnsi="Times New Roman" w:cs="Times New Roman"/>
          <w:color w:val="4472C4" w:themeColor="accent1"/>
          <w:sz w:val="24"/>
          <w:szCs w:val="24"/>
        </w:rPr>
        <w:t xml:space="preserve"> </w:t>
      </w:r>
      <w:r w:rsidR="00C53DC4" w:rsidRPr="0031609A">
        <w:rPr>
          <w:rFonts w:ascii="Times New Roman" w:hAnsi="Times New Roman" w:cs="Times New Roman"/>
          <w:color w:val="4472C4" w:themeColor="accent1"/>
          <w:sz w:val="24"/>
          <w:szCs w:val="24"/>
        </w:rPr>
        <w:t>on Information on Foreign Law</w:t>
      </w:r>
      <w:r w:rsidRPr="0031609A">
        <w:rPr>
          <w:rFonts w:ascii="Times New Roman" w:hAnsi="Times New Roman" w:cs="Times New Roman"/>
          <w:color w:val="4472C4" w:themeColor="accent1"/>
          <w:sz w:val="24"/>
          <w:szCs w:val="24"/>
        </w:rPr>
        <w:t xml:space="preserve">. For instance, in 2022, a court of first instance, in accordance with the </w:t>
      </w:r>
      <w:r w:rsidR="00C53DC4" w:rsidRPr="0031609A">
        <w:rPr>
          <w:rFonts w:ascii="Times New Roman" w:hAnsi="Times New Roman" w:cs="Times New Roman"/>
          <w:color w:val="4472C4" w:themeColor="accent1"/>
          <w:sz w:val="24"/>
          <w:szCs w:val="24"/>
        </w:rPr>
        <w:t>1968</w:t>
      </w:r>
      <w:r w:rsidR="00C53DC4">
        <w:rPr>
          <w:rFonts w:ascii="Times New Roman" w:hAnsi="Times New Roman" w:cs="Times New Roman"/>
          <w:color w:val="4472C4" w:themeColor="accent1"/>
          <w:sz w:val="24"/>
          <w:szCs w:val="24"/>
        </w:rPr>
        <w:t xml:space="preserve"> </w:t>
      </w:r>
      <w:r w:rsidRPr="0031609A">
        <w:rPr>
          <w:rFonts w:ascii="Times New Roman" w:hAnsi="Times New Roman" w:cs="Times New Roman"/>
          <w:color w:val="4472C4" w:themeColor="accent1"/>
          <w:sz w:val="24"/>
          <w:szCs w:val="24"/>
        </w:rPr>
        <w:t xml:space="preserve">Convention, requested the competent authorities of Spain to gather evidence on the content of </w:t>
      </w:r>
      <w:r w:rsidR="00120AE0">
        <w:rPr>
          <w:rFonts w:ascii="Times New Roman" w:hAnsi="Times New Roman" w:cs="Times New Roman"/>
          <w:color w:val="4472C4" w:themeColor="accent1"/>
          <w:sz w:val="24"/>
          <w:szCs w:val="24"/>
        </w:rPr>
        <w:t xml:space="preserve">Spanish law. It requested for the information on </w:t>
      </w:r>
      <w:r w:rsidRPr="0031609A">
        <w:rPr>
          <w:rFonts w:ascii="Times New Roman" w:hAnsi="Times New Roman" w:cs="Times New Roman"/>
          <w:color w:val="4472C4" w:themeColor="accent1"/>
          <w:sz w:val="24"/>
          <w:szCs w:val="24"/>
        </w:rPr>
        <w:t>the rules of Spanish law relevant to the dispute between the parties and on the practice of interpretation and application of those rules, by means of extracts from the legislation and the case law.</w:t>
      </w:r>
      <w:r w:rsidRPr="0031609A">
        <w:rPr>
          <w:rStyle w:val="FootnoteReference"/>
          <w:rFonts w:ascii="Times New Roman" w:hAnsi="Times New Roman" w:cs="Times New Roman"/>
          <w:color w:val="4472C4" w:themeColor="accent1"/>
          <w:sz w:val="24"/>
          <w:szCs w:val="24"/>
        </w:rPr>
        <w:footnoteReference w:id="45"/>
      </w:r>
      <w:r w:rsidRPr="0031609A">
        <w:rPr>
          <w:rFonts w:ascii="Times New Roman" w:hAnsi="Times New Roman" w:cs="Times New Roman"/>
          <w:color w:val="4472C4" w:themeColor="accent1"/>
          <w:sz w:val="24"/>
          <w:szCs w:val="24"/>
        </w:rPr>
        <w:t xml:space="preserve"> In particular, </w:t>
      </w:r>
      <w:r w:rsidR="00D869B2">
        <w:rPr>
          <w:rFonts w:ascii="Times New Roman" w:hAnsi="Times New Roman" w:cs="Times New Roman"/>
          <w:color w:val="4472C4" w:themeColor="accent1"/>
          <w:sz w:val="24"/>
          <w:szCs w:val="24"/>
        </w:rPr>
        <w:t>the court</w:t>
      </w:r>
      <w:r w:rsidRPr="0031609A">
        <w:rPr>
          <w:rFonts w:ascii="Times New Roman" w:hAnsi="Times New Roman" w:cs="Times New Roman"/>
          <w:color w:val="4472C4" w:themeColor="accent1"/>
          <w:sz w:val="24"/>
          <w:szCs w:val="24"/>
        </w:rPr>
        <w:t xml:space="preserve"> asked such questions as what is the limitation period for actions for compensation for damage to property sustained in an accident in Spain? When does the limitation period begin to run for claims for compensation for damage to property caused by an accident in Spain? What circumstances suspend the limitation period for claims for compensation for damage to property caused by an accident in Spain? From what date does the limitation period continue to run after its suspension?, etc. </w:t>
      </w:r>
      <w:r w:rsidR="00D869B2">
        <w:rPr>
          <w:rFonts w:ascii="Times New Roman" w:hAnsi="Times New Roman" w:cs="Times New Roman"/>
          <w:color w:val="4472C4" w:themeColor="accent1"/>
          <w:sz w:val="24"/>
          <w:szCs w:val="24"/>
        </w:rPr>
        <w:t>In 2020, for instance,</w:t>
      </w:r>
      <w:r w:rsidRPr="0031609A">
        <w:rPr>
          <w:rFonts w:ascii="Times New Roman" w:hAnsi="Times New Roman" w:cs="Times New Roman"/>
          <w:color w:val="4472C4" w:themeColor="accent1"/>
          <w:sz w:val="24"/>
          <w:szCs w:val="24"/>
        </w:rPr>
        <w:t xml:space="preserve"> requests </w:t>
      </w:r>
      <w:r w:rsidR="009E5775">
        <w:rPr>
          <w:rFonts w:ascii="Times New Roman" w:hAnsi="Times New Roman" w:cs="Times New Roman"/>
          <w:color w:val="4472C4" w:themeColor="accent1"/>
          <w:sz w:val="24"/>
          <w:szCs w:val="24"/>
        </w:rPr>
        <w:t xml:space="preserve">for information on the basis of </w:t>
      </w:r>
      <w:r w:rsidR="009E5775" w:rsidRPr="0031609A">
        <w:rPr>
          <w:rFonts w:ascii="Times New Roman" w:hAnsi="Times New Roman" w:cs="Times New Roman"/>
          <w:color w:val="4472C4" w:themeColor="accent1"/>
          <w:sz w:val="24"/>
          <w:szCs w:val="24"/>
        </w:rPr>
        <w:t xml:space="preserve">1968 Convention </w:t>
      </w:r>
      <w:r w:rsidRPr="0031609A">
        <w:rPr>
          <w:rFonts w:ascii="Times New Roman" w:hAnsi="Times New Roman" w:cs="Times New Roman"/>
          <w:color w:val="4472C4" w:themeColor="accent1"/>
          <w:sz w:val="24"/>
          <w:szCs w:val="24"/>
        </w:rPr>
        <w:t>were also made to the UK authorities.</w:t>
      </w:r>
      <w:r w:rsidR="00AB094A" w:rsidRPr="0031609A">
        <w:rPr>
          <w:rStyle w:val="FootnoteReference"/>
          <w:rFonts w:ascii="Times New Roman" w:hAnsi="Times New Roman" w:cs="Times New Roman"/>
          <w:color w:val="4472C4" w:themeColor="accent1"/>
          <w:sz w:val="24"/>
          <w:szCs w:val="24"/>
        </w:rPr>
        <w:footnoteReference w:id="46"/>
      </w:r>
    </w:p>
    <w:p w14:paraId="4F95D4B0" w14:textId="66447400" w:rsidR="003F4CE6" w:rsidRPr="0031609A" w:rsidRDefault="00AB094A" w:rsidP="003F4CE6">
      <w:pPr>
        <w:jc w:val="both"/>
        <w:rPr>
          <w:rFonts w:ascii="Times New Roman" w:hAnsi="Times New Roman" w:cs="Times New Roman"/>
          <w:color w:val="4472C4" w:themeColor="accent1"/>
          <w:sz w:val="24"/>
          <w:szCs w:val="24"/>
        </w:rPr>
      </w:pPr>
      <w:r w:rsidRPr="0031609A">
        <w:rPr>
          <w:rFonts w:ascii="Times New Roman" w:hAnsi="Times New Roman" w:cs="Times New Roman"/>
          <w:color w:val="4472C4" w:themeColor="accent1"/>
          <w:sz w:val="24"/>
          <w:szCs w:val="24"/>
        </w:rPr>
        <w:t xml:space="preserve">Please note that the cases mentioned </w:t>
      </w:r>
      <w:r w:rsidR="009E5775">
        <w:rPr>
          <w:rFonts w:ascii="Times New Roman" w:hAnsi="Times New Roman" w:cs="Times New Roman"/>
          <w:color w:val="4472C4" w:themeColor="accent1"/>
          <w:sz w:val="24"/>
          <w:szCs w:val="24"/>
        </w:rPr>
        <w:t>above</w:t>
      </w:r>
      <w:r w:rsidRPr="0031609A">
        <w:rPr>
          <w:rFonts w:ascii="Times New Roman" w:hAnsi="Times New Roman" w:cs="Times New Roman"/>
          <w:color w:val="4472C4" w:themeColor="accent1"/>
          <w:sz w:val="24"/>
          <w:szCs w:val="24"/>
        </w:rPr>
        <w:t xml:space="preserve"> were not family cases.</w:t>
      </w:r>
    </w:p>
    <w:p w14:paraId="27053E35" w14:textId="77777777" w:rsidR="00AB094A" w:rsidRPr="003F4CE6" w:rsidRDefault="00AB094A" w:rsidP="003F4CE6">
      <w:pPr>
        <w:jc w:val="both"/>
        <w:rPr>
          <w:rFonts w:ascii="Times New Roman" w:hAnsi="Times New Roman" w:cs="Times New Roman"/>
        </w:rPr>
      </w:pPr>
    </w:p>
    <w:p w14:paraId="5B0CDB45" w14:textId="0BBD2AA6" w:rsidR="00536C66" w:rsidRPr="00C544E3" w:rsidRDefault="00536C66" w:rsidP="002B4C5F">
      <w:pPr>
        <w:pStyle w:val="Heading2"/>
      </w:pPr>
      <w:bookmarkStart w:id="13" w:name="_Toc122349483"/>
      <w:r w:rsidRPr="00C544E3">
        <w:t>Recognition and enforcement</w:t>
      </w:r>
      <w:bookmarkEnd w:id="13"/>
    </w:p>
    <w:p w14:paraId="7319E3F0" w14:textId="77777777" w:rsidR="002B4C5F" w:rsidRPr="00C544E3" w:rsidRDefault="002B4C5F" w:rsidP="00403A5E">
      <w:pPr>
        <w:spacing w:after="0"/>
      </w:pPr>
    </w:p>
    <w:p w14:paraId="3A33DDD9" w14:textId="63BB5ECB" w:rsidR="00EF35A8" w:rsidRDefault="00EF35A8" w:rsidP="008A76E4">
      <w:pPr>
        <w:pStyle w:val="ListParagraph"/>
        <w:numPr>
          <w:ilvl w:val="0"/>
          <w:numId w:val="8"/>
        </w:numPr>
        <w:jc w:val="both"/>
        <w:rPr>
          <w:rFonts w:ascii="Times New Roman" w:hAnsi="Times New Roman" w:cs="Times New Roman"/>
        </w:rPr>
      </w:pPr>
      <w:r w:rsidRPr="00C544E3">
        <w:rPr>
          <w:rFonts w:ascii="Times New Roman" w:hAnsi="Times New Roman" w:cs="Times New Roman"/>
        </w:rPr>
        <w:lastRenderedPageBreak/>
        <w:t xml:space="preserve">If you are aware of case(s) where recognition and enforcement was sought in jurisdictions outside the EU, please comment on the procedural or other </w:t>
      </w:r>
      <w:r w:rsidR="003E6D38" w:rsidRPr="00C544E3">
        <w:rPr>
          <w:rFonts w:ascii="Times New Roman" w:hAnsi="Times New Roman" w:cs="Times New Roman"/>
        </w:rPr>
        <w:t xml:space="preserve">practical </w:t>
      </w:r>
      <w:r w:rsidRPr="00C544E3">
        <w:rPr>
          <w:rFonts w:ascii="Times New Roman" w:hAnsi="Times New Roman" w:cs="Times New Roman"/>
        </w:rPr>
        <w:t xml:space="preserve">differences between the Brussels </w:t>
      </w:r>
      <w:proofErr w:type="spellStart"/>
      <w:r w:rsidRPr="00C544E3">
        <w:rPr>
          <w:rFonts w:ascii="Times New Roman" w:hAnsi="Times New Roman" w:cs="Times New Roman"/>
        </w:rPr>
        <w:t>I</w:t>
      </w:r>
      <w:r w:rsidR="00847BA7" w:rsidRPr="00C544E3">
        <w:rPr>
          <w:rFonts w:ascii="Times New Roman" w:hAnsi="Times New Roman" w:cs="Times New Roman"/>
        </w:rPr>
        <w:t>I</w:t>
      </w:r>
      <w:r w:rsidRPr="00C544E3">
        <w:rPr>
          <w:rFonts w:ascii="Times New Roman" w:hAnsi="Times New Roman" w:cs="Times New Roman"/>
        </w:rPr>
        <w:t>a</w:t>
      </w:r>
      <w:proofErr w:type="spellEnd"/>
      <w:r w:rsidRPr="00C544E3">
        <w:rPr>
          <w:rFonts w:ascii="Times New Roman" w:hAnsi="Times New Roman" w:cs="Times New Roman"/>
        </w:rPr>
        <w:t xml:space="preserve"> Regulation and the 2007 </w:t>
      </w:r>
      <w:r w:rsidR="00583E42" w:rsidRPr="00C544E3">
        <w:rPr>
          <w:rFonts w:ascii="Times New Roman" w:hAnsi="Times New Roman" w:cs="Times New Roman"/>
        </w:rPr>
        <w:t xml:space="preserve">Maintenance </w:t>
      </w:r>
      <w:r w:rsidRPr="00C544E3">
        <w:rPr>
          <w:rFonts w:ascii="Times New Roman" w:hAnsi="Times New Roman" w:cs="Times New Roman"/>
        </w:rPr>
        <w:t xml:space="preserve">Convention regimes. </w:t>
      </w:r>
      <w:r w:rsidR="00430898" w:rsidRPr="00C544E3">
        <w:rPr>
          <w:rFonts w:ascii="Times New Roman" w:hAnsi="Times New Roman" w:cs="Times New Roman"/>
        </w:rPr>
        <w:t>Where relevant, please comment also on</w:t>
      </w:r>
      <w:r w:rsidR="00583E42" w:rsidRPr="00C544E3">
        <w:rPr>
          <w:rFonts w:ascii="Times New Roman" w:hAnsi="Times New Roman" w:cs="Times New Roman"/>
        </w:rPr>
        <w:t xml:space="preserve"> pertinent </w:t>
      </w:r>
      <w:r w:rsidR="00430898" w:rsidRPr="00C544E3">
        <w:rPr>
          <w:rFonts w:ascii="Times New Roman" w:hAnsi="Times New Roman" w:cs="Times New Roman"/>
        </w:rPr>
        <w:t xml:space="preserve">cases under the </w:t>
      </w:r>
      <w:r w:rsidR="00583E42" w:rsidRPr="00C544E3">
        <w:rPr>
          <w:rFonts w:ascii="Times New Roman" w:hAnsi="Times New Roman" w:cs="Times New Roman"/>
        </w:rPr>
        <w:t>Lugano Convention.</w:t>
      </w:r>
    </w:p>
    <w:p w14:paraId="0A6BA02D" w14:textId="15D01F54" w:rsidR="009E5775" w:rsidRDefault="009E5775" w:rsidP="00C84587">
      <w:pPr>
        <w:jc w:val="both"/>
        <w:rPr>
          <w:rFonts w:ascii="Times New Roman" w:hAnsi="Times New Roman" w:cs="Times New Roman"/>
          <w:highlight w:val="yellow"/>
        </w:rPr>
      </w:pPr>
    </w:p>
    <w:p w14:paraId="6C4E9A1A" w14:textId="3FC9A041" w:rsidR="009E5775" w:rsidRPr="00B41E4A" w:rsidRDefault="009E5775" w:rsidP="00C84587">
      <w:pPr>
        <w:jc w:val="both"/>
        <w:rPr>
          <w:rFonts w:ascii="Times New Roman" w:hAnsi="Times New Roman" w:cs="Times New Roman"/>
          <w:color w:val="4472C4" w:themeColor="accent1"/>
          <w:sz w:val="24"/>
          <w:szCs w:val="24"/>
        </w:rPr>
      </w:pPr>
      <w:r w:rsidRPr="00B41E4A">
        <w:rPr>
          <w:rFonts w:ascii="Times New Roman" w:hAnsi="Times New Roman" w:cs="Times New Roman"/>
          <w:color w:val="4472C4" w:themeColor="accent1"/>
          <w:sz w:val="24"/>
          <w:szCs w:val="24"/>
        </w:rPr>
        <w:t xml:space="preserve">I am not aware of such </w:t>
      </w:r>
      <w:r w:rsidR="00D04622" w:rsidRPr="00B41E4A">
        <w:rPr>
          <w:rFonts w:ascii="Times New Roman" w:hAnsi="Times New Roman" w:cs="Times New Roman"/>
          <w:color w:val="4472C4" w:themeColor="accent1"/>
          <w:sz w:val="24"/>
          <w:szCs w:val="24"/>
        </w:rPr>
        <w:t>cases</w:t>
      </w:r>
      <w:r w:rsidRPr="00B41E4A">
        <w:rPr>
          <w:rFonts w:ascii="Times New Roman" w:hAnsi="Times New Roman" w:cs="Times New Roman"/>
          <w:color w:val="4472C4" w:themeColor="accent1"/>
          <w:sz w:val="24"/>
          <w:szCs w:val="24"/>
        </w:rPr>
        <w:t>.</w:t>
      </w:r>
    </w:p>
    <w:p w14:paraId="7280CC58" w14:textId="77777777" w:rsidR="00C84587" w:rsidRPr="00C84587" w:rsidRDefault="00C84587" w:rsidP="00C84587">
      <w:pPr>
        <w:jc w:val="both"/>
        <w:rPr>
          <w:rFonts w:ascii="Times New Roman" w:hAnsi="Times New Roman" w:cs="Times New Roman"/>
        </w:rPr>
      </w:pPr>
    </w:p>
    <w:p w14:paraId="708F4ED2" w14:textId="63E17DD6" w:rsidR="00F408AF" w:rsidRPr="00C544E3" w:rsidRDefault="00F408AF" w:rsidP="008A76E4">
      <w:pPr>
        <w:pStyle w:val="Heading2"/>
        <w:numPr>
          <w:ilvl w:val="0"/>
          <w:numId w:val="6"/>
        </w:numPr>
        <w:jc w:val="both"/>
        <w:rPr>
          <w:rFonts w:ascii="Times New Roman" w:hAnsi="Times New Roman" w:cs="Times New Roman"/>
          <w:b/>
          <w:bCs/>
          <w:sz w:val="24"/>
          <w:szCs w:val="24"/>
        </w:rPr>
      </w:pPr>
      <w:bookmarkStart w:id="14" w:name="_Toc122349484"/>
      <w:r w:rsidRPr="00C544E3">
        <w:rPr>
          <w:rFonts w:ascii="Times New Roman" w:hAnsi="Times New Roman" w:cs="Times New Roman"/>
          <w:b/>
          <w:bCs/>
          <w:sz w:val="24"/>
          <w:szCs w:val="24"/>
        </w:rPr>
        <w:t>Convention of 13 January 2000 on the International Protection of Adults</w:t>
      </w:r>
      <w:bookmarkEnd w:id="14"/>
    </w:p>
    <w:p w14:paraId="5CA56CB5" w14:textId="3BA77F7D" w:rsidR="00BA48CF" w:rsidRPr="00C544E3" w:rsidRDefault="00BA48CF" w:rsidP="0082156F">
      <w:pPr>
        <w:spacing w:after="0"/>
      </w:pPr>
    </w:p>
    <w:p w14:paraId="23D2A8AB" w14:textId="26D86DDE" w:rsidR="00B204AE" w:rsidRPr="00D04622" w:rsidRDefault="00B204AE" w:rsidP="0082156F">
      <w:pPr>
        <w:spacing w:after="0"/>
        <w:rPr>
          <w:rFonts w:ascii="Times New Roman" w:hAnsi="Times New Roman" w:cs="Times New Roman"/>
          <w:color w:val="4472C4" w:themeColor="accent1"/>
          <w:sz w:val="24"/>
          <w:szCs w:val="24"/>
        </w:rPr>
      </w:pPr>
      <w:r w:rsidRPr="00D04622">
        <w:rPr>
          <w:rFonts w:ascii="Times New Roman" w:hAnsi="Times New Roman" w:cs="Times New Roman"/>
          <w:color w:val="4472C4" w:themeColor="accent1"/>
          <w:sz w:val="24"/>
          <w:szCs w:val="24"/>
        </w:rPr>
        <w:t>Lithuania is not a party to this Convention.</w:t>
      </w:r>
    </w:p>
    <w:p w14:paraId="57FBAAAC" w14:textId="77777777" w:rsidR="00B204AE" w:rsidRPr="00C544E3" w:rsidRDefault="00B204AE" w:rsidP="0082156F">
      <w:pPr>
        <w:spacing w:after="0"/>
      </w:pPr>
    </w:p>
    <w:p w14:paraId="626267DD" w14:textId="6A4BFE3F" w:rsidR="0082156F" w:rsidRPr="007E5DDD" w:rsidRDefault="0082156F" w:rsidP="0082156F">
      <w:pPr>
        <w:rPr>
          <w:rFonts w:asciiTheme="majorHAnsi" w:hAnsiTheme="majorHAnsi" w:cstheme="majorHAnsi"/>
          <w:strike/>
          <w:color w:val="4472C4" w:themeColor="accent1"/>
        </w:rPr>
      </w:pPr>
      <w:r w:rsidRPr="007E5DDD">
        <w:rPr>
          <w:rFonts w:asciiTheme="majorHAnsi" w:hAnsiTheme="majorHAnsi" w:cstheme="majorHAnsi"/>
          <w:strike/>
          <w:color w:val="4472C4" w:themeColor="accent1"/>
        </w:rPr>
        <w:t>Recognition and enforcement</w:t>
      </w:r>
    </w:p>
    <w:p w14:paraId="28511AA8" w14:textId="0280AC13" w:rsidR="00F408AF" w:rsidRPr="007E5DDD" w:rsidRDefault="00124677" w:rsidP="008A76E4">
      <w:pPr>
        <w:pStyle w:val="ListParagraph"/>
        <w:numPr>
          <w:ilvl w:val="0"/>
          <w:numId w:val="8"/>
        </w:numPr>
        <w:jc w:val="both"/>
        <w:rPr>
          <w:rFonts w:ascii="Times New Roman" w:hAnsi="Times New Roman" w:cs="Times New Roman"/>
          <w:strike/>
        </w:rPr>
      </w:pPr>
      <w:r w:rsidRPr="007E5DDD">
        <w:rPr>
          <w:rFonts w:ascii="Times New Roman" w:hAnsi="Times New Roman" w:cs="Times New Roman"/>
          <w:strike/>
        </w:rPr>
        <w:t xml:space="preserve">Please comment on how recognition and enforcement of measures of protection </w:t>
      </w:r>
      <w:r w:rsidR="007F48D6" w:rsidRPr="007E5DDD">
        <w:rPr>
          <w:rFonts w:ascii="Times New Roman" w:hAnsi="Times New Roman" w:cs="Times New Roman"/>
          <w:strike/>
        </w:rPr>
        <w:t>are</w:t>
      </w:r>
      <w:r w:rsidRPr="007E5DDD">
        <w:rPr>
          <w:rFonts w:ascii="Times New Roman" w:hAnsi="Times New Roman" w:cs="Times New Roman"/>
          <w:strike/>
        </w:rPr>
        <w:t xml:space="preserve"> approached in your jurisdiction. If possible, please refer to examples from case law. </w:t>
      </w:r>
    </w:p>
    <w:p w14:paraId="174E0EF0" w14:textId="092DCB93" w:rsidR="00124677" w:rsidRPr="007E5DDD" w:rsidRDefault="00124677" w:rsidP="008A76E4">
      <w:pPr>
        <w:pStyle w:val="ListParagraph"/>
        <w:numPr>
          <w:ilvl w:val="0"/>
          <w:numId w:val="8"/>
        </w:numPr>
        <w:jc w:val="both"/>
        <w:rPr>
          <w:rFonts w:ascii="Times New Roman" w:hAnsi="Times New Roman" w:cs="Times New Roman"/>
          <w:strike/>
        </w:rPr>
      </w:pPr>
      <w:r w:rsidRPr="007E5DDD">
        <w:rPr>
          <w:rFonts w:ascii="Times New Roman" w:hAnsi="Times New Roman" w:cs="Times New Roman"/>
          <w:strike/>
        </w:rPr>
        <w:t xml:space="preserve">Please comment on how and to what extent foreign powers of attorney are capable of recognition and enforcement in your jurisdiction. If possible, please refer to examples from case law. </w:t>
      </w:r>
    </w:p>
    <w:p w14:paraId="78C11F26" w14:textId="0065AC9A" w:rsidR="00D309DF" w:rsidRPr="007E5DDD" w:rsidRDefault="00D309DF" w:rsidP="007E5DDD">
      <w:pPr>
        <w:rPr>
          <w:rFonts w:asciiTheme="majorHAnsi" w:hAnsiTheme="majorHAnsi" w:cstheme="majorHAnsi"/>
          <w:strike/>
          <w:color w:val="4472C4" w:themeColor="accent1"/>
        </w:rPr>
      </w:pPr>
      <w:r w:rsidRPr="007E5DDD">
        <w:rPr>
          <w:rFonts w:asciiTheme="majorHAnsi" w:hAnsiTheme="majorHAnsi" w:cstheme="majorHAnsi"/>
          <w:strike/>
          <w:color w:val="4472C4" w:themeColor="accent1"/>
        </w:rPr>
        <w:t>Applicable law</w:t>
      </w:r>
    </w:p>
    <w:p w14:paraId="334ABC8E" w14:textId="1C7E8194" w:rsidR="000472D0" w:rsidRPr="00C544E3" w:rsidRDefault="00D309DF" w:rsidP="008A76E4">
      <w:pPr>
        <w:jc w:val="both"/>
        <w:rPr>
          <w:rFonts w:ascii="Times New Roman" w:hAnsi="Times New Roman" w:cs="Times New Roman"/>
          <w:strike/>
        </w:rPr>
      </w:pPr>
      <w:r w:rsidRPr="00C544E3">
        <w:rPr>
          <w:rFonts w:ascii="Times New Roman" w:hAnsi="Times New Roman" w:cs="Times New Roman"/>
          <w:strike/>
        </w:rPr>
        <w:t xml:space="preserve">We </w:t>
      </w:r>
      <w:r w:rsidR="000472D0" w:rsidRPr="00C544E3">
        <w:rPr>
          <w:rFonts w:ascii="Times New Roman" w:hAnsi="Times New Roman" w:cs="Times New Roman"/>
          <w:strike/>
        </w:rPr>
        <w:t xml:space="preserve">note that determining the law applicable to </w:t>
      </w:r>
      <w:r w:rsidR="000472D0" w:rsidRPr="00C544E3">
        <w:rPr>
          <w:rFonts w:ascii="Times New Roman" w:hAnsi="Times New Roman" w:cs="Times New Roman"/>
          <w:i/>
          <w:iCs/>
          <w:strike/>
        </w:rPr>
        <w:t xml:space="preserve">ex </w:t>
      </w:r>
      <w:proofErr w:type="spellStart"/>
      <w:r w:rsidR="000472D0" w:rsidRPr="00C544E3">
        <w:rPr>
          <w:rFonts w:ascii="Times New Roman" w:hAnsi="Times New Roman" w:cs="Times New Roman"/>
          <w:i/>
          <w:iCs/>
          <w:strike/>
        </w:rPr>
        <w:t>lege</w:t>
      </w:r>
      <w:proofErr w:type="spellEnd"/>
      <w:r w:rsidR="000472D0" w:rsidRPr="00C544E3">
        <w:rPr>
          <w:rFonts w:ascii="Times New Roman" w:hAnsi="Times New Roman" w:cs="Times New Roman"/>
          <w:i/>
          <w:iCs/>
          <w:strike/>
        </w:rPr>
        <w:t xml:space="preserve"> </w:t>
      </w:r>
      <w:r w:rsidR="000472D0" w:rsidRPr="00C544E3">
        <w:rPr>
          <w:rFonts w:ascii="Times New Roman" w:hAnsi="Times New Roman" w:cs="Times New Roman"/>
          <w:strike/>
        </w:rPr>
        <w:t xml:space="preserve">powers of representation highlights several existing issues, which are explored in the following questions. </w:t>
      </w:r>
    </w:p>
    <w:p w14:paraId="05AA8FFA" w14:textId="22986952" w:rsidR="000472D0" w:rsidRPr="00C544E3" w:rsidRDefault="008362C4" w:rsidP="008A76E4">
      <w:pPr>
        <w:pStyle w:val="ListParagraph"/>
        <w:numPr>
          <w:ilvl w:val="0"/>
          <w:numId w:val="8"/>
        </w:numPr>
        <w:jc w:val="both"/>
        <w:rPr>
          <w:rFonts w:ascii="Times New Roman" w:hAnsi="Times New Roman" w:cs="Times New Roman"/>
          <w:strike/>
        </w:rPr>
      </w:pPr>
      <w:r w:rsidRPr="00C544E3">
        <w:rPr>
          <w:rFonts w:ascii="Times New Roman" w:hAnsi="Times New Roman" w:cs="Times New Roman"/>
          <w:strike/>
        </w:rPr>
        <w:t xml:space="preserve">Is it possible for </w:t>
      </w:r>
      <w:r w:rsidRPr="00C544E3">
        <w:rPr>
          <w:rFonts w:ascii="Times New Roman" w:hAnsi="Times New Roman" w:cs="Times New Roman"/>
          <w:i/>
          <w:iCs/>
          <w:strike/>
        </w:rPr>
        <w:t xml:space="preserve">ex </w:t>
      </w:r>
      <w:proofErr w:type="spellStart"/>
      <w:r w:rsidRPr="00C544E3">
        <w:rPr>
          <w:rFonts w:ascii="Times New Roman" w:hAnsi="Times New Roman" w:cs="Times New Roman"/>
          <w:i/>
          <w:iCs/>
          <w:strike/>
        </w:rPr>
        <w:t>lege</w:t>
      </w:r>
      <w:proofErr w:type="spellEnd"/>
      <w:r w:rsidRPr="00C544E3">
        <w:rPr>
          <w:rFonts w:ascii="Times New Roman" w:hAnsi="Times New Roman" w:cs="Times New Roman"/>
          <w:strike/>
        </w:rPr>
        <w:t xml:space="preserve"> powers of attorney to arise</w:t>
      </w:r>
      <w:r w:rsidR="003F1C58" w:rsidRPr="00C544E3">
        <w:rPr>
          <w:rFonts w:ascii="Times New Roman" w:hAnsi="Times New Roman" w:cs="Times New Roman"/>
          <w:strike/>
        </w:rPr>
        <w:t xml:space="preserve"> under the 2000 Convention</w:t>
      </w:r>
      <w:r w:rsidR="007F48D6" w:rsidRPr="00C544E3">
        <w:rPr>
          <w:rFonts w:ascii="Times New Roman" w:hAnsi="Times New Roman" w:cs="Times New Roman"/>
          <w:strike/>
        </w:rPr>
        <w:t xml:space="preserve"> in your jurisdiction</w:t>
      </w:r>
      <w:r w:rsidR="003F1C58" w:rsidRPr="00C544E3">
        <w:rPr>
          <w:rFonts w:ascii="Times New Roman" w:hAnsi="Times New Roman" w:cs="Times New Roman"/>
          <w:strike/>
        </w:rPr>
        <w:t>?</w:t>
      </w:r>
    </w:p>
    <w:p w14:paraId="5AD1CC3F" w14:textId="341580C2" w:rsidR="003F1C58" w:rsidRPr="00C544E3" w:rsidRDefault="003F1C58" w:rsidP="008A76E4">
      <w:pPr>
        <w:pStyle w:val="ListParagraph"/>
        <w:numPr>
          <w:ilvl w:val="0"/>
          <w:numId w:val="8"/>
        </w:numPr>
        <w:jc w:val="both"/>
        <w:rPr>
          <w:rFonts w:ascii="Times New Roman" w:hAnsi="Times New Roman" w:cs="Times New Roman"/>
          <w:strike/>
        </w:rPr>
      </w:pPr>
      <w:r w:rsidRPr="00C544E3">
        <w:rPr>
          <w:rFonts w:ascii="Times New Roman" w:hAnsi="Times New Roman" w:cs="Times New Roman"/>
          <w:strike/>
        </w:rPr>
        <w:t xml:space="preserve">How is the above question classified in your </w:t>
      </w:r>
      <w:r w:rsidR="007F48D6" w:rsidRPr="00C544E3">
        <w:rPr>
          <w:rFonts w:ascii="Times New Roman" w:hAnsi="Times New Roman" w:cs="Times New Roman"/>
          <w:strike/>
        </w:rPr>
        <w:t>jurisdiction,</w:t>
      </w:r>
      <w:r w:rsidRPr="00C544E3">
        <w:rPr>
          <w:rFonts w:ascii="Times New Roman" w:hAnsi="Times New Roman" w:cs="Times New Roman"/>
          <w:strike/>
        </w:rPr>
        <w:t xml:space="preserve"> as a matter of personal law or protection?</w:t>
      </w:r>
    </w:p>
    <w:p w14:paraId="61CF8DA0" w14:textId="2BE53FB5" w:rsidR="003F1C58" w:rsidRPr="00C544E3" w:rsidRDefault="003F1C58" w:rsidP="00CC5757">
      <w:pPr>
        <w:pStyle w:val="ListParagraph"/>
        <w:numPr>
          <w:ilvl w:val="0"/>
          <w:numId w:val="8"/>
        </w:numPr>
        <w:jc w:val="both"/>
        <w:rPr>
          <w:rFonts w:ascii="Times New Roman" w:hAnsi="Times New Roman" w:cs="Times New Roman"/>
          <w:strike/>
        </w:rPr>
      </w:pPr>
      <w:r w:rsidRPr="00C544E3">
        <w:rPr>
          <w:rFonts w:ascii="Times New Roman" w:hAnsi="Times New Roman" w:cs="Times New Roman"/>
          <w:strike/>
        </w:rPr>
        <w:t>What do you consider the greatest pitfall of the 2000 Convention to be in this regard?</w:t>
      </w:r>
    </w:p>
    <w:p w14:paraId="14C9C13F" w14:textId="082EAFA1" w:rsidR="00B84736" w:rsidRPr="00C544E3" w:rsidRDefault="00B84736" w:rsidP="007B7184">
      <w:pPr>
        <w:pStyle w:val="ListParagraph"/>
        <w:jc w:val="both"/>
        <w:rPr>
          <w:rFonts w:ascii="Times New Roman" w:hAnsi="Times New Roman" w:cs="Times New Roman"/>
        </w:rPr>
      </w:pPr>
    </w:p>
    <w:p w14:paraId="52860277" w14:textId="53EF8D6C" w:rsidR="001D61EB" w:rsidRPr="00C544E3" w:rsidRDefault="001D61EB" w:rsidP="0087616E">
      <w:pPr>
        <w:pStyle w:val="Heading2"/>
        <w:numPr>
          <w:ilvl w:val="0"/>
          <w:numId w:val="6"/>
        </w:numPr>
        <w:rPr>
          <w:rFonts w:ascii="Times New Roman" w:hAnsi="Times New Roman" w:cs="Times New Roman"/>
          <w:b/>
          <w:bCs/>
          <w:sz w:val="24"/>
          <w:szCs w:val="24"/>
        </w:rPr>
      </w:pPr>
      <w:bookmarkStart w:id="15" w:name="_Toc122349485"/>
      <w:r w:rsidRPr="00C544E3">
        <w:rPr>
          <w:rStyle w:val="Heading2Char"/>
          <w:rFonts w:ascii="Times New Roman" w:hAnsi="Times New Roman" w:cs="Times New Roman"/>
          <w:b/>
          <w:bCs/>
          <w:sz w:val="24"/>
          <w:szCs w:val="24"/>
        </w:rPr>
        <w:t xml:space="preserve">Cooperation </w:t>
      </w:r>
      <w:r w:rsidR="00411A3C" w:rsidRPr="00C544E3">
        <w:rPr>
          <w:rStyle w:val="Heading2Char"/>
          <w:rFonts w:ascii="Times New Roman" w:hAnsi="Times New Roman" w:cs="Times New Roman"/>
          <w:b/>
          <w:bCs/>
          <w:sz w:val="24"/>
          <w:szCs w:val="24"/>
        </w:rPr>
        <w:t>and training</w:t>
      </w:r>
      <w:bookmarkEnd w:id="15"/>
      <w:r w:rsidR="00411A3C" w:rsidRPr="00C544E3">
        <w:rPr>
          <w:rStyle w:val="Heading2Char"/>
          <w:rFonts w:ascii="Times New Roman" w:hAnsi="Times New Roman" w:cs="Times New Roman"/>
          <w:b/>
          <w:bCs/>
          <w:sz w:val="24"/>
          <w:szCs w:val="24"/>
        </w:rPr>
        <w:t xml:space="preserve"> </w:t>
      </w:r>
    </w:p>
    <w:p w14:paraId="262A74EE" w14:textId="0C48115A" w:rsidR="001D61EB" w:rsidRPr="00C544E3" w:rsidRDefault="001D61EB" w:rsidP="007B7184">
      <w:pPr>
        <w:pStyle w:val="ListParagraph"/>
        <w:jc w:val="both"/>
        <w:rPr>
          <w:rFonts w:ascii="Times New Roman" w:hAnsi="Times New Roman" w:cs="Times New Roman"/>
        </w:rPr>
      </w:pPr>
    </w:p>
    <w:p w14:paraId="47107161" w14:textId="181DA858" w:rsidR="00FA2181" w:rsidRPr="00B41E4A" w:rsidRDefault="00FA2181" w:rsidP="00FA2181">
      <w:pPr>
        <w:pStyle w:val="ListParagraph"/>
        <w:numPr>
          <w:ilvl w:val="0"/>
          <w:numId w:val="8"/>
        </w:numPr>
        <w:jc w:val="both"/>
        <w:rPr>
          <w:rFonts w:ascii="Times New Roman" w:hAnsi="Times New Roman" w:cs="Times New Roman"/>
        </w:rPr>
      </w:pPr>
      <w:r w:rsidRPr="00B41E4A">
        <w:rPr>
          <w:rFonts w:ascii="Times New Roman" w:hAnsi="Times New Roman" w:cs="Times New Roman"/>
        </w:rPr>
        <w:t xml:space="preserve">Do you consider the cross-border cooperation between courts and other authorities involved in handling international family cases under the Hague Conventions listed above to be efficient? </w:t>
      </w:r>
    </w:p>
    <w:p w14:paraId="1D652C3A" w14:textId="77777777" w:rsidR="00D04622" w:rsidRDefault="00D04622" w:rsidP="00D84674">
      <w:pPr>
        <w:jc w:val="both"/>
        <w:rPr>
          <w:rFonts w:ascii="Times New Roman" w:hAnsi="Times New Roman" w:cs="Times New Roman"/>
          <w:color w:val="4472C4" w:themeColor="accent1"/>
        </w:rPr>
      </w:pPr>
    </w:p>
    <w:p w14:paraId="44D00824" w14:textId="77055A6F" w:rsidR="00D84674" w:rsidRPr="00D04622" w:rsidRDefault="0090546D" w:rsidP="00D84674">
      <w:pPr>
        <w:jc w:val="both"/>
        <w:rPr>
          <w:rFonts w:ascii="Times New Roman" w:hAnsi="Times New Roman" w:cs="Times New Roman"/>
          <w:color w:val="4472C4" w:themeColor="accent1"/>
          <w:sz w:val="24"/>
          <w:szCs w:val="24"/>
        </w:rPr>
      </w:pPr>
      <w:r w:rsidRPr="00D04622">
        <w:rPr>
          <w:rFonts w:ascii="Times New Roman" w:hAnsi="Times New Roman" w:cs="Times New Roman"/>
          <w:color w:val="4472C4" w:themeColor="accent1"/>
          <w:sz w:val="24"/>
          <w:szCs w:val="24"/>
        </w:rPr>
        <w:t>In intra-EU cases and in the case of Hague Countries with whom cooperation is regular (the UK, Norway), the cooperation seems to work</w:t>
      </w:r>
      <w:r w:rsidR="00D04622">
        <w:rPr>
          <w:rFonts w:ascii="Times New Roman" w:hAnsi="Times New Roman" w:cs="Times New Roman"/>
          <w:color w:val="4472C4" w:themeColor="accent1"/>
          <w:sz w:val="24"/>
          <w:szCs w:val="24"/>
        </w:rPr>
        <w:t xml:space="preserve"> well</w:t>
      </w:r>
      <w:r w:rsidRPr="00D04622">
        <w:rPr>
          <w:rFonts w:ascii="Times New Roman" w:hAnsi="Times New Roman" w:cs="Times New Roman"/>
          <w:color w:val="4472C4" w:themeColor="accent1"/>
          <w:sz w:val="24"/>
          <w:szCs w:val="24"/>
        </w:rPr>
        <w:t xml:space="preserve">. It is more complicated with </w:t>
      </w:r>
      <w:r w:rsidR="00C84587" w:rsidRPr="00D04622">
        <w:rPr>
          <w:rFonts w:ascii="Times New Roman" w:hAnsi="Times New Roman" w:cs="Times New Roman"/>
          <w:color w:val="4472C4" w:themeColor="accent1"/>
          <w:sz w:val="24"/>
          <w:szCs w:val="24"/>
        </w:rPr>
        <w:t xml:space="preserve">regard to </w:t>
      </w:r>
      <w:r w:rsidRPr="00D04622">
        <w:rPr>
          <w:rFonts w:ascii="Times New Roman" w:hAnsi="Times New Roman" w:cs="Times New Roman"/>
          <w:color w:val="4472C4" w:themeColor="accent1"/>
          <w:sz w:val="24"/>
          <w:szCs w:val="24"/>
        </w:rPr>
        <w:t xml:space="preserve">the countries </w:t>
      </w:r>
      <w:r w:rsidR="00BB6D5C">
        <w:rPr>
          <w:rFonts w:ascii="Times New Roman" w:hAnsi="Times New Roman" w:cs="Times New Roman"/>
          <w:color w:val="4472C4" w:themeColor="accent1"/>
          <w:sz w:val="24"/>
          <w:szCs w:val="24"/>
        </w:rPr>
        <w:t>that</w:t>
      </w:r>
      <w:r w:rsidRPr="00D04622">
        <w:rPr>
          <w:rFonts w:ascii="Times New Roman" w:hAnsi="Times New Roman" w:cs="Times New Roman"/>
          <w:color w:val="4472C4" w:themeColor="accent1"/>
          <w:sz w:val="24"/>
          <w:szCs w:val="24"/>
        </w:rPr>
        <w:t xml:space="preserve"> are appearing less </w:t>
      </w:r>
      <w:r w:rsidR="00C84587" w:rsidRPr="00D04622">
        <w:rPr>
          <w:rFonts w:ascii="Times New Roman" w:hAnsi="Times New Roman" w:cs="Times New Roman"/>
          <w:color w:val="4472C4" w:themeColor="accent1"/>
          <w:sz w:val="24"/>
          <w:szCs w:val="24"/>
        </w:rPr>
        <w:t xml:space="preserve">often in </w:t>
      </w:r>
      <w:r w:rsidRPr="00D04622">
        <w:rPr>
          <w:rFonts w:ascii="Times New Roman" w:hAnsi="Times New Roman" w:cs="Times New Roman"/>
          <w:color w:val="4472C4" w:themeColor="accent1"/>
          <w:sz w:val="24"/>
          <w:szCs w:val="24"/>
        </w:rPr>
        <w:t>family cases.</w:t>
      </w:r>
    </w:p>
    <w:p w14:paraId="0560C577" w14:textId="77777777" w:rsidR="0090546D" w:rsidRPr="00D84674" w:rsidRDefault="0090546D" w:rsidP="00D84674">
      <w:pPr>
        <w:jc w:val="both"/>
        <w:rPr>
          <w:rFonts w:ascii="Times New Roman" w:hAnsi="Times New Roman" w:cs="Times New Roman"/>
        </w:rPr>
      </w:pPr>
    </w:p>
    <w:p w14:paraId="5CDA7D43" w14:textId="21B8E147" w:rsidR="00FA2181" w:rsidRPr="00B41E4A" w:rsidRDefault="00FA2181" w:rsidP="00FA2181">
      <w:pPr>
        <w:pStyle w:val="ListParagraph"/>
        <w:numPr>
          <w:ilvl w:val="0"/>
          <w:numId w:val="8"/>
        </w:numPr>
        <w:jc w:val="both"/>
        <w:rPr>
          <w:rFonts w:ascii="Times New Roman" w:hAnsi="Times New Roman" w:cs="Times New Roman"/>
        </w:rPr>
      </w:pPr>
      <w:r w:rsidRPr="00B41E4A">
        <w:rPr>
          <w:rFonts w:ascii="Times New Roman" w:hAnsi="Times New Roman" w:cs="Times New Roman"/>
        </w:rPr>
        <w:t xml:space="preserve">Can you compare its functioning among EU Member States on one hand and between EU Member States and third states on the other hand? </w:t>
      </w:r>
    </w:p>
    <w:p w14:paraId="45AC7418" w14:textId="77777777" w:rsidR="00D84674" w:rsidRPr="00D84674" w:rsidRDefault="00D84674" w:rsidP="00D84674">
      <w:pPr>
        <w:pStyle w:val="ListParagraph"/>
        <w:rPr>
          <w:rFonts w:ascii="Times New Roman" w:hAnsi="Times New Roman" w:cs="Times New Roman"/>
        </w:rPr>
      </w:pPr>
    </w:p>
    <w:p w14:paraId="4CA73516" w14:textId="3415DA44" w:rsidR="00D84674" w:rsidRDefault="00B41E4A" w:rsidP="00D84674">
      <w:pPr>
        <w:jc w:val="both"/>
        <w:rPr>
          <w:rFonts w:ascii="Times New Roman" w:hAnsi="Times New Roman" w:cs="Times New Roman"/>
          <w:color w:val="4472C4" w:themeColor="accent1"/>
          <w:sz w:val="24"/>
          <w:szCs w:val="24"/>
        </w:rPr>
      </w:pPr>
      <w:r w:rsidRPr="00B41E4A">
        <w:rPr>
          <w:rFonts w:ascii="Times New Roman" w:hAnsi="Times New Roman" w:cs="Times New Roman"/>
          <w:color w:val="4472C4" w:themeColor="accent1"/>
          <w:sz w:val="24"/>
          <w:szCs w:val="24"/>
        </w:rPr>
        <w:t>I do not have</w:t>
      </w:r>
      <w:r>
        <w:rPr>
          <w:rFonts w:ascii="Times New Roman" w:hAnsi="Times New Roman" w:cs="Times New Roman"/>
          <w:color w:val="4472C4" w:themeColor="accent1"/>
          <w:sz w:val="24"/>
          <w:szCs w:val="24"/>
        </w:rPr>
        <w:t xml:space="preserve"> precise</w:t>
      </w:r>
      <w:r w:rsidRPr="00B41E4A">
        <w:rPr>
          <w:rFonts w:ascii="Times New Roman" w:hAnsi="Times New Roman" w:cs="Times New Roman"/>
          <w:color w:val="4472C4" w:themeColor="accent1"/>
          <w:sz w:val="24"/>
          <w:szCs w:val="24"/>
        </w:rPr>
        <w:t xml:space="preserve"> information in this regard.</w:t>
      </w:r>
      <w:r>
        <w:rPr>
          <w:rFonts w:ascii="Times New Roman" w:hAnsi="Times New Roman" w:cs="Times New Roman"/>
          <w:color w:val="4472C4" w:themeColor="accent1"/>
          <w:sz w:val="24"/>
          <w:szCs w:val="24"/>
        </w:rPr>
        <w:t xml:space="preserve"> See also my answer to question 27.</w:t>
      </w:r>
    </w:p>
    <w:p w14:paraId="6CC8D6A2" w14:textId="77777777" w:rsidR="00B41E4A" w:rsidRPr="00B41E4A" w:rsidRDefault="00B41E4A" w:rsidP="00D84674">
      <w:pPr>
        <w:jc w:val="both"/>
        <w:rPr>
          <w:rFonts w:ascii="Times New Roman" w:hAnsi="Times New Roman" w:cs="Times New Roman"/>
          <w:color w:val="4472C4" w:themeColor="accent1"/>
          <w:sz w:val="24"/>
          <w:szCs w:val="24"/>
        </w:rPr>
      </w:pPr>
    </w:p>
    <w:p w14:paraId="45046A2D" w14:textId="69798376" w:rsidR="00FA2181" w:rsidRDefault="00FA2181" w:rsidP="00FA2181">
      <w:pPr>
        <w:pStyle w:val="ListParagraph"/>
        <w:numPr>
          <w:ilvl w:val="0"/>
          <w:numId w:val="8"/>
        </w:numPr>
        <w:jc w:val="both"/>
        <w:rPr>
          <w:rFonts w:ascii="Times New Roman" w:hAnsi="Times New Roman" w:cs="Times New Roman"/>
        </w:rPr>
      </w:pPr>
      <w:r w:rsidRPr="00C544E3">
        <w:rPr>
          <w:rFonts w:ascii="Times New Roman" w:hAnsi="Times New Roman" w:cs="Times New Roman"/>
        </w:rPr>
        <w:lastRenderedPageBreak/>
        <w:t xml:space="preserve">Is the usage of modern technologies in cross-border cooperation equally represented in EU and non-EU cooperation? </w:t>
      </w:r>
    </w:p>
    <w:p w14:paraId="6C03CD48" w14:textId="77777777" w:rsidR="00B41E4A" w:rsidRDefault="00B41E4A" w:rsidP="000B722C">
      <w:pPr>
        <w:jc w:val="both"/>
        <w:rPr>
          <w:rFonts w:ascii="Times New Roman" w:hAnsi="Times New Roman" w:cs="Times New Roman"/>
          <w:color w:val="4472C4" w:themeColor="accent1"/>
          <w:sz w:val="24"/>
          <w:szCs w:val="24"/>
        </w:rPr>
      </w:pPr>
    </w:p>
    <w:p w14:paraId="37EE961B" w14:textId="0AF8F335" w:rsidR="000B722C" w:rsidRPr="00B41E4A" w:rsidRDefault="000B722C" w:rsidP="000B722C">
      <w:pPr>
        <w:jc w:val="both"/>
        <w:rPr>
          <w:rFonts w:ascii="Times New Roman" w:hAnsi="Times New Roman" w:cs="Times New Roman"/>
          <w:color w:val="4472C4" w:themeColor="accent1"/>
          <w:sz w:val="24"/>
          <w:szCs w:val="24"/>
        </w:rPr>
      </w:pPr>
      <w:r w:rsidRPr="00B41E4A">
        <w:rPr>
          <w:rFonts w:ascii="Times New Roman" w:hAnsi="Times New Roman" w:cs="Times New Roman"/>
          <w:color w:val="4472C4" w:themeColor="accent1"/>
          <w:sz w:val="24"/>
          <w:szCs w:val="24"/>
        </w:rPr>
        <w:t xml:space="preserve">In </w:t>
      </w:r>
      <w:r w:rsidR="0090546D" w:rsidRPr="00B41E4A">
        <w:rPr>
          <w:rFonts w:ascii="Times New Roman" w:hAnsi="Times New Roman" w:cs="Times New Roman"/>
          <w:color w:val="4472C4" w:themeColor="accent1"/>
          <w:sz w:val="24"/>
          <w:szCs w:val="24"/>
        </w:rPr>
        <w:t xml:space="preserve">the </w:t>
      </w:r>
      <w:r w:rsidRPr="00B41E4A">
        <w:rPr>
          <w:rFonts w:ascii="Times New Roman" w:hAnsi="Times New Roman" w:cs="Times New Roman"/>
          <w:color w:val="4472C4" w:themeColor="accent1"/>
          <w:sz w:val="24"/>
          <w:szCs w:val="24"/>
        </w:rPr>
        <w:t>EU, several useful tools have been developed, such as European Judicial Network</w:t>
      </w:r>
      <w:r w:rsidRPr="00B41E4A">
        <w:rPr>
          <w:rFonts w:ascii="Times New Roman" w:hAnsi="Times New Roman" w:cs="Times New Roman"/>
          <w:color w:val="4472C4" w:themeColor="accent1"/>
          <w:sz w:val="24"/>
          <w:szCs w:val="24"/>
          <w:vertAlign w:val="superscript"/>
        </w:rPr>
        <w:footnoteReference w:id="47"/>
      </w:r>
      <w:r w:rsidR="009304A3" w:rsidRPr="00B41E4A">
        <w:rPr>
          <w:rFonts w:ascii="Times New Roman" w:hAnsi="Times New Roman" w:cs="Times New Roman"/>
          <w:color w:val="4472C4" w:themeColor="accent1"/>
          <w:sz w:val="24"/>
          <w:szCs w:val="24"/>
        </w:rPr>
        <w:t xml:space="preserve"> or European Judicial Atlas in civil matters</w:t>
      </w:r>
      <w:r w:rsidR="009304A3" w:rsidRPr="00B41E4A">
        <w:rPr>
          <w:sz w:val="24"/>
          <w:szCs w:val="24"/>
          <w:vertAlign w:val="superscript"/>
        </w:rPr>
        <w:footnoteReference w:id="48"/>
      </w:r>
      <w:r w:rsidR="0090546D" w:rsidRPr="00B41E4A">
        <w:rPr>
          <w:rFonts w:ascii="Times New Roman" w:hAnsi="Times New Roman" w:cs="Times New Roman"/>
          <w:color w:val="4472C4" w:themeColor="accent1"/>
          <w:sz w:val="24"/>
          <w:szCs w:val="24"/>
        </w:rPr>
        <w:t xml:space="preserve">. In non-EU cooperation, however, most of the cooperation goes through the ministries of </w:t>
      </w:r>
      <w:r w:rsidR="00B41E4A">
        <w:rPr>
          <w:rFonts w:ascii="Times New Roman" w:hAnsi="Times New Roman" w:cs="Times New Roman"/>
          <w:color w:val="4472C4" w:themeColor="accent1"/>
          <w:sz w:val="24"/>
          <w:szCs w:val="24"/>
        </w:rPr>
        <w:t>j</w:t>
      </w:r>
      <w:r w:rsidR="0090546D" w:rsidRPr="00B41E4A">
        <w:rPr>
          <w:rFonts w:ascii="Times New Roman" w:hAnsi="Times New Roman" w:cs="Times New Roman"/>
          <w:color w:val="4472C4" w:themeColor="accent1"/>
          <w:sz w:val="24"/>
          <w:szCs w:val="24"/>
        </w:rPr>
        <w:t>ustice using official communication means.</w:t>
      </w:r>
    </w:p>
    <w:p w14:paraId="4131A6B9" w14:textId="77777777" w:rsidR="00D84674" w:rsidRPr="00C544E3" w:rsidRDefault="00D84674" w:rsidP="00D84674">
      <w:pPr>
        <w:pStyle w:val="ListParagraph"/>
        <w:jc w:val="both"/>
        <w:rPr>
          <w:rFonts w:ascii="Times New Roman" w:hAnsi="Times New Roman" w:cs="Times New Roman"/>
        </w:rPr>
      </w:pPr>
    </w:p>
    <w:p w14:paraId="556A1D55" w14:textId="28D5D6C8" w:rsidR="00FA2181" w:rsidRDefault="00FA2181" w:rsidP="00FA2181">
      <w:pPr>
        <w:pStyle w:val="ListParagraph"/>
        <w:numPr>
          <w:ilvl w:val="0"/>
          <w:numId w:val="8"/>
        </w:numPr>
        <w:jc w:val="both"/>
        <w:rPr>
          <w:rFonts w:ascii="Times New Roman" w:hAnsi="Times New Roman" w:cs="Times New Roman"/>
        </w:rPr>
      </w:pPr>
      <w:r w:rsidRPr="00C544E3">
        <w:rPr>
          <w:rFonts w:ascii="Times New Roman" w:hAnsi="Times New Roman" w:cs="Times New Roman"/>
        </w:rPr>
        <w:t xml:space="preserve">What steps should be taken to make cross-border cooperation more efficient, timely and successful? </w:t>
      </w:r>
    </w:p>
    <w:p w14:paraId="380954AB" w14:textId="77777777" w:rsidR="00B41E4A" w:rsidRPr="00B41E4A" w:rsidRDefault="00B41E4A" w:rsidP="000B722C">
      <w:pPr>
        <w:jc w:val="both"/>
        <w:rPr>
          <w:rFonts w:ascii="Times New Roman" w:hAnsi="Times New Roman" w:cs="Times New Roman"/>
          <w:color w:val="4472C4" w:themeColor="accent1"/>
          <w:sz w:val="24"/>
          <w:szCs w:val="24"/>
        </w:rPr>
      </w:pPr>
    </w:p>
    <w:p w14:paraId="4EE2DBCA" w14:textId="61B98D05" w:rsidR="000B722C" w:rsidRPr="00B41E4A" w:rsidRDefault="000B722C" w:rsidP="000B722C">
      <w:pPr>
        <w:jc w:val="both"/>
        <w:rPr>
          <w:rFonts w:ascii="Times New Roman" w:hAnsi="Times New Roman" w:cs="Times New Roman"/>
          <w:color w:val="4472C4" w:themeColor="accent1"/>
          <w:sz w:val="24"/>
          <w:szCs w:val="24"/>
        </w:rPr>
      </w:pPr>
      <w:r w:rsidRPr="00B41E4A">
        <w:rPr>
          <w:rFonts w:ascii="Times New Roman" w:hAnsi="Times New Roman" w:cs="Times New Roman"/>
          <w:color w:val="4472C4" w:themeColor="accent1"/>
          <w:sz w:val="24"/>
          <w:szCs w:val="24"/>
        </w:rPr>
        <w:t xml:space="preserve">Recently many online tools have been developed to foster cross-border cooperation of institutions. However, personal contacts should not be forgotten. Therefore, I see international events for judges and their research teams as necessary – not only to exchange views on national practices, to learn from each other and get informed </w:t>
      </w:r>
      <w:r w:rsidR="00886DF0">
        <w:rPr>
          <w:rFonts w:ascii="Times New Roman" w:hAnsi="Times New Roman" w:cs="Times New Roman"/>
          <w:color w:val="4472C4" w:themeColor="accent1"/>
          <w:sz w:val="24"/>
          <w:szCs w:val="24"/>
        </w:rPr>
        <w:t>about</w:t>
      </w:r>
      <w:r w:rsidRPr="00B41E4A">
        <w:rPr>
          <w:rFonts w:ascii="Times New Roman" w:hAnsi="Times New Roman" w:cs="Times New Roman"/>
          <w:color w:val="4472C4" w:themeColor="accent1"/>
          <w:sz w:val="24"/>
          <w:szCs w:val="24"/>
        </w:rPr>
        <w:t xml:space="preserve"> challenges faced by colleagues abroad but also to strengthen personal contacts that would encourage to refer to cross-border cooperation when needed.</w:t>
      </w:r>
    </w:p>
    <w:p w14:paraId="3376B7BD" w14:textId="77777777" w:rsidR="000B722C" w:rsidRPr="00C544E3" w:rsidRDefault="000B722C" w:rsidP="000B722C">
      <w:pPr>
        <w:jc w:val="both"/>
        <w:rPr>
          <w:rFonts w:ascii="Times New Roman" w:hAnsi="Times New Roman" w:cs="Times New Roman"/>
        </w:rPr>
      </w:pPr>
    </w:p>
    <w:p w14:paraId="62F42FAD" w14:textId="3FE99C04" w:rsidR="00FA2181" w:rsidRDefault="00FA2181" w:rsidP="00FA2181">
      <w:pPr>
        <w:pStyle w:val="ListParagraph"/>
        <w:numPr>
          <w:ilvl w:val="0"/>
          <w:numId w:val="8"/>
        </w:numPr>
        <w:jc w:val="both"/>
        <w:rPr>
          <w:rFonts w:ascii="Times New Roman" w:hAnsi="Times New Roman" w:cs="Times New Roman"/>
        </w:rPr>
      </w:pPr>
      <w:r w:rsidRPr="00C544E3">
        <w:rPr>
          <w:rFonts w:ascii="Times New Roman" w:hAnsi="Times New Roman" w:cs="Times New Roman"/>
        </w:rPr>
        <w:t xml:space="preserve">Is judicial training in international family matters contributing to better understanding, interpretation and uniform application of EU Regulations and/or Hague Conventions listed above? </w:t>
      </w:r>
    </w:p>
    <w:p w14:paraId="00132ECF" w14:textId="2E4E83C6" w:rsidR="00D84674" w:rsidRDefault="00D84674" w:rsidP="00D84674">
      <w:pPr>
        <w:pStyle w:val="ListParagraph"/>
        <w:jc w:val="both"/>
        <w:rPr>
          <w:rFonts w:ascii="Times New Roman" w:hAnsi="Times New Roman" w:cs="Times New Roman"/>
        </w:rPr>
      </w:pPr>
    </w:p>
    <w:p w14:paraId="15220E63" w14:textId="4F386D5B" w:rsidR="00D84674" w:rsidRPr="00BB6D5C" w:rsidRDefault="00D84674" w:rsidP="00D84674">
      <w:pPr>
        <w:jc w:val="both"/>
        <w:rPr>
          <w:rFonts w:ascii="Times New Roman" w:hAnsi="Times New Roman" w:cs="Times New Roman"/>
          <w:color w:val="4472C4" w:themeColor="accent1"/>
          <w:sz w:val="24"/>
          <w:szCs w:val="24"/>
          <w:lang w:val="en-US"/>
        </w:rPr>
      </w:pPr>
      <w:r w:rsidRPr="00BB6D5C">
        <w:rPr>
          <w:rFonts w:ascii="Times New Roman" w:hAnsi="Times New Roman" w:cs="Times New Roman"/>
          <w:color w:val="4472C4" w:themeColor="accent1"/>
          <w:sz w:val="24"/>
          <w:szCs w:val="24"/>
        </w:rPr>
        <w:t xml:space="preserve">Judicial training is always important and should be organised and implemented regularly. Regretfully, since </w:t>
      </w:r>
      <w:r w:rsidRPr="00BB6D5C">
        <w:rPr>
          <w:rFonts w:ascii="Times New Roman" w:hAnsi="Times New Roman" w:cs="Times New Roman"/>
          <w:color w:val="4472C4" w:themeColor="accent1"/>
          <w:sz w:val="24"/>
          <w:szCs w:val="24"/>
          <w:lang w:val="en-US"/>
        </w:rPr>
        <w:t xml:space="preserve">2020 many training courses </w:t>
      </w:r>
      <w:r w:rsidR="00BB6D5C" w:rsidRPr="00BB6D5C">
        <w:rPr>
          <w:rFonts w:ascii="Times New Roman" w:hAnsi="Times New Roman" w:cs="Times New Roman"/>
          <w:color w:val="4472C4" w:themeColor="accent1"/>
          <w:sz w:val="24"/>
          <w:szCs w:val="24"/>
          <w:lang w:val="en-US"/>
        </w:rPr>
        <w:t>have been</w:t>
      </w:r>
      <w:r w:rsidRPr="00BB6D5C">
        <w:rPr>
          <w:rFonts w:ascii="Times New Roman" w:hAnsi="Times New Roman" w:cs="Times New Roman"/>
          <w:color w:val="4472C4" w:themeColor="accent1"/>
          <w:sz w:val="24"/>
          <w:szCs w:val="24"/>
          <w:lang w:val="en-US"/>
        </w:rPr>
        <w:t xml:space="preserve"> held online</w:t>
      </w:r>
      <w:r w:rsidR="00886DF0">
        <w:rPr>
          <w:rFonts w:ascii="Times New Roman" w:hAnsi="Times New Roman" w:cs="Times New Roman"/>
          <w:color w:val="4472C4" w:themeColor="accent1"/>
          <w:sz w:val="24"/>
          <w:szCs w:val="24"/>
          <w:lang w:val="en-US"/>
        </w:rPr>
        <w:t>,</w:t>
      </w:r>
      <w:r w:rsidRPr="00BB6D5C">
        <w:rPr>
          <w:rFonts w:ascii="Times New Roman" w:hAnsi="Times New Roman" w:cs="Times New Roman"/>
          <w:color w:val="4472C4" w:themeColor="accent1"/>
          <w:sz w:val="24"/>
          <w:szCs w:val="24"/>
          <w:lang w:val="en-US"/>
        </w:rPr>
        <w:t xml:space="preserve"> which, in my opinion, considerably lowers their effectiveness.</w:t>
      </w:r>
      <w:r w:rsidR="00886DF0">
        <w:rPr>
          <w:rFonts w:ascii="Times New Roman" w:hAnsi="Times New Roman" w:cs="Times New Roman"/>
          <w:color w:val="4472C4" w:themeColor="accent1"/>
          <w:sz w:val="24"/>
          <w:szCs w:val="24"/>
          <w:lang w:val="en-US"/>
        </w:rPr>
        <w:t xml:space="preserve"> In my opinion, and as confirmed by the Supreme Court Research Department, in Lithuania, there are not many training events held in the area of private international family law. </w:t>
      </w:r>
    </w:p>
    <w:p w14:paraId="59645958" w14:textId="69C859CB" w:rsidR="00BB6D5C" w:rsidRPr="00BB6D5C" w:rsidRDefault="00BB6D5C" w:rsidP="00D84674">
      <w:pPr>
        <w:jc w:val="both"/>
        <w:rPr>
          <w:rFonts w:ascii="Times New Roman" w:hAnsi="Times New Roman" w:cs="Times New Roman"/>
          <w:color w:val="4472C4" w:themeColor="accent1"/>
          <w:sz w:val="24"/>
          <w:szCs w:val="24"/>
          <w:lang w:val="en-US"/>
        </w:rPr>
      </w:pPr>
      <w:r w:rsidRPr="00BB6D5C">
        <w:rPr>
          <w:rFonts w:ascii="Times New Roman" w:hAnsi="Times New Roman" w:cs="Times New Roman"/>
          <w:color w:val="4472C4" w:themeColor="accent1"/>
          <w:sz w:val="24"/>
          <w:szCs w:val="24"/>
          <w:lang w:val="en-US"/>
        </w:rPr>
        <w:t xml:space="preserve">Another issue to be mentioned in this context is the training of social services working with children. These are important institutions in cross-border family cases involving children, therefore, training on international family law should also include relevant social services. In Lithuania, social services are not receiving much training on international family law, and the </w:t>
      </w:r>
      <w:r w:rsidRPr="00BB6D5C">
        <w:rPr>
          <w:rFonts w:ascii="Times New Roman" w:hAnsi="Times New Roman" w:cs="Times New Roman"/>
          <w:color w:val="4472C4" w:themeColor="accent1"/>
          <w:sz w:val="24"/>
          <w:szCs w:val="24"/>
        </w:rPr>
        <w:t xml:space="preserve">representative of the State Child Rights Protection and Adoption Service whom I contacted noted that only </w:t>
      </w:r>
      <w:r w:rsidR="00886DF0">
        <w:rPr>
          <w:rFonts w:ascii="Times New Roman" w:hAnsi="Times New Roman" w:cs="Times New Roman"/>
          <w:color w:val="4472C4" w:themeColor="accent1"/>
          <w:sz w:val="24"/>
          <w:szCs w:val="24"/>
        </w:rPr>
        <w:t xml:space="preserve">a </w:t>
      </w:r>
      <w:r w:rsidRPr="00BB6D5C">
        <w:rPr>
          <w:rFonts w:ascii="Times New Roman" w:hAnsi="Times New Roman" w:cs="Times New Roman"/>
          <w:color w:val="4472C4" w:themeColor="accent1"/>
          <w:sz w:val="24"/>
          <w:szCs w:val="24"/>
        </w:rPr>
        <w:t>few recent training</w:t>
      </w:r>
      <w:r w:rsidR="00886DF0">
        <w:rPr>
          <w:rFonts w:ascii="Times New Roman" w:hAnsi="Times New Roman" w:cs="Times New Roman"/>
          <w:color w:val="4472C4" w:themeColor="accent1"/>
          <w:sz w:val="24"/>
          <w:szCs w:val="24"/>
        </w:rPr>
        <w:t xml:space="preserve"> courses </w:t>
      </w:r>
      <w:r w:rsidRPr="00BB6D5C">
        <w:rPr>
          <w:rFonts w:ascii="Times New Roman" w:hAnsi="Times New Roman" w:cs="Times New Roman"/>
          <w:color w:val="4472C4" w:themeColor="accent1"/>
          <w:sz w:val="24"/>
          <w:szCs w:val="24"/>
        </w:rPr>
        <w:t xml:space="preserve">included social services (two of those training were organised by the EU co-funded projects). </w:t>
      </w:r>
    </w:p>
    <w:p w14:paraId="0149956E" w14:textId="77777777" w:rsidR="00D84674" w:rsidRPr="00C544E3" w:rsidRDefault="00D84674" w:rsidP="00D84674">
      <w:pPr>
        <w:pStyle w:val="ListParagraph"/>
        <w:jc w:val="both"/>
        <w:rPr>
          <w:rFonts w:ascii="Times New Roman" w:hAnsi="Times New Roman" w:cs="Times New Roman"/>
        </w:rPr>
      </w:pPr>
    </w:p>
    <w:p w14:paraId="4CD5EBF8" w14:textId="4B0863E5" w:rsidR="00FA2181" w:rsidRDefault="00FA2181" w:rsidP="00FA2181">
      <w:pPr>
        <w:pStyle w:val="ListParagraph"/>
        <w:numPr>
          <w:ilvl w:val="0"/>
          <w:numId w:val="8"/>
        </w:numPr>
        <w:jc w:val="both"/>
        <w:rPr>
          <w:rFonts w:ascii="Times New Roman" w:hAnsi="Times New Roman" w:cs="Times New Roman"/>
        </w:rPr>
      </w:pPr>
      <w:r w:rsidRPr="00C544E3">
        <w:rPr>
          <w:rFonts w:ascii="Times New Roman" w:hAnsi="Times New Roman" w:cs="Times New Roman"/>
        </w:rPr>
        <w:t xml:space="preserve">Is information on the Hague Conventions listed above accessible to judges and other relevant officials in your country? For example, is the information available to them in their language, and do they possess skills to find the information in the digital format from reliable online sources? </w:t>
      </w:r>
    </w:p>
    <w:p w14:paraId="07DE6BF1" w14:textId="77777777" w:rsidR="00886DF0" w:rsidRDefault="00D84674" w:rsidP="009304A3">
      <w:pPr>
        <w:jc w:val="both"/>
        <w:rPr>
          <w:rFonts w:ascii="Times New Roman" w:hAnsi="Times New Roman" w:cs="Times New Roman"/>
          <w:color w:val="4472C4" w:themeColor="accent1"/>
          <w:sz w:val="24"/>
          <w:szCs w:val="24"/>
          <w:lang w:val="en-US"/>
        </w:rPr>
      </w:pPr>
      <w:r w:rsidRPr="00886DF0">
        <w:rPr>
          <w:rFonts w:ascii="Times New Roman" w:hAnsi="Times New Roman" w:cs="Times New Roman"/>
          <w:color w:val="4472C4" w:themeColor="accent1"/>
          <w:sz w:val="24"/>
          <w:szCs w:val="24"/>
          <w:lang w:val="en-US"/>
        </w:rPr>
        <w:lastRenderedPageBreak/>
        <w:t xml:space="preserve">Yes, the information is accessible; the instruments applied in Lithuania are translated into Lithuanian, and there are several Supreme Court reviews explaining the instruments and their application. </w:t>
      </w:r>
      <w:r w:rsidR="009304A3" w:rsidRPr="00886DF0">
        <w:rPr>
          <w:rFonts w:ascii="Times New Roman" w:hAnsi="Times New Roman" w:cs="Times New Roman"/>
          <w:color w:val="4472C4" w:themeColor="accent1"/>
          <w:sz w:val="24"/>
          <w:szCs w:val="24"/>
          <w:lang w:val="en-US"/>
        </w:rPr>
        <w:t>Moreover, the Ministry of Justice has compiled a useful list that can be referred to find sources.</w:t>
      </w:r>
      <w:r w:rsidR="009304A3" w:rsidRPr="00886DF0">
        <w:rPr>
          <w:sz w:val="24"/>
          <w:szCs w:val="24"/>
          <w:vertAlign w:val="superscript"/>
          <w:lang w:val="en-US"/>
        </w:rPr>
        <w:footnoteReference w:id="49"/>
      </w:r>
      <w:r w:rsidR="009304A3" w:rsidRPr="00886DF0">
        <w:rPr>
          <w:rFonts w:ascii="Times New Roman" w:hAnsi="Times New Roman" w:cs="Times New Roman"/>
          <w:color w:val="4472C4" w:themeColor="accent1"/>
          <w:sz w:val="24"/>
          <w:szCs w:val="24"/>
          <w:lang w:val="en-US"/>
        </w:rPr>
        <w:t xml:space="preserve"> </w:t>
      </w:r>
      <w:r w:rsidRPr="00886DF0">
        <w:rPr>
          <w:rFonts w:ascii="Times New Roman" w:hAnsi="Times New Roman" w:cs="Times New Roman"/>
          <w:color w:val="4472C4" w:themeColor="accent1"/>
          <w:sz w:val="24"/>
          <w:szCs w:val="24"/>
          <w:lang w:val="en-US"/>
        </w:rPr>
        <w:t xml:space="preserve">However, there are not many academic publications in the Lithuanian language as in recent years many academics switched to writing in English (publications in rated journals or books of recognised publishers are valued more for their career purposes). </w:t>
      </w:r>
    </w:p>
    <w:p w14:paraId="1BED1EE3" w14:textId="7ADFA8AE" w:rsidR="00D84674" w:rsidRPr="00886DF0" w:rsidRDefault="00D84674" w:rsidP="009304A3">
      <w:pPr>
        <w:jc w:val="both"/>
        <w:rPr>
          <w:rFonts w:ascii="Times New Roman" w:hAnsi="Times New Roman" w:cs="Times New Roman"/>
          <w:color w:val="4472C4" w:themeColor="accent1"/>
          <w:sz w:val="24"/>
          <w:szCs w:val="24"/>
          <w:lang w:val="en-US"/>
        </w:rPr>
      </w:pPr>
      <w:r w:rsidRPr="00886DF0">
        <w:rPr>
          <w:rFonts w:ascii="Times New Roman" w:hAnsi="Times New Roman" w:cs="Times New Roman"/>
          <w:color w:val="4472C4" w:themeColor="accent1"/>
          <w:sz w:val="24"/>
          <w:szCs w:val="24"/>
          <w:lang w:val="en-US"/>
        </w:rPr>
        <w:t xml:space="preserve">I also believe </w:t>
      </w:r>
      <w:r w:rsidR="00BB6D5C" w:rsidRPr="00886DF0">
        <w:rPr>
          <w:rFonts w:ascii="Times New Roman" w:hAnsi="Times New Roman" w:cs="Times New Roman"/>
          <w:color w:val="4472C4" w:themeColor="accent1"/>
          <w:sz w:val="24"/>
          <w:szCs w:val="24"/>
          <w:lang w:val="en-US"/>
        </w:rPr>
        <w:t xml:space="preserve">that </w:t>
      </w:r>
      <w:r w:rsidRPr="00886DF0">
        <w:rPr>
          <w:rFonts w:ascii="Times New Roman" w:hAnsi="Times New Roman" w:cs="Times New Roman"/>
          <w:color w:val="4472C4" w:themeColor="accent1"/>
          <w:sz w:val="24"/>
          <w:szCs w:val="24"/>
          <w:lang w:val="en-US"/>
        </w:rPr>
        <w:t xml:space="preserve">finding information in digital format is not an issue, </w:t>
      </w:r>
      <w:r w:rsidR="009304A3" w:rsidRPr="00886DF0">
        <w:rPr>
          <w:rFonts w:ascii="Times New Roman" w:hAnsi="Times New Roman" w:cs="Times New Roman"/>
          <w:color w:val="4472C4" w:themeColor="accent1"/>
          <w:sz w:val="24"/>
          <w:szCs w:val="24"/>
          <w:lang w:val="en-US"/>
        </w:rPr>
        <w:t>especially as the</w:t>
      </w:r>
      <w:r w:rsidRPr="00886DF0">
        <w:rPr>
          <w:rFonts w:ascii="Times New Roman" w:hAnsi="Times New Roman" w:cs="Times New Roman"/>
          <w:color w:val="4472C4" w:themeColor="accent1"/>
          <w:sz w:val="24"/>
          <w:szCs w:val="24"/>
          <w:lang w:val="en-US"/>
        </w:rPr>
        <w:t xml:space="preserve"> higher courts (e.g. Supreme Court, the Court of Appeal) have their research units helping the judges</w:t>
      </w:r>
      <w:r w:rsidR="00886DF0">
        <w:rPr>
          <w:rFonts w:ascii="Times New Roman" w:hAnsi="Times New Roman" w:cs="Times New Roman"/>
          <w:color w:val="4472C4" w:themeColor="accent1"/>
          <w:sz w:val="24"/>
          <w:szCs w:val="24"/>
          <w:lang w:val="en-US"/>
        </w:rPr>
        <w:t>,</w:t>
      </w:r>
      <w:r w:rsidR="009304A3" w:rsidRPr="00886DF0">
        <w:rPr>
          <w:rFonts w:ascii="Times New Roman" w:hAnsi="Times New Roman" w:cs="Times New Roman"/>
          <w:color w:val="4472C4" w:themeColor="accent1"/>
          <w:sz w:val="24"/>
          <w:szCs w:val="24"/>
          <w:lang w:val="en-US"/>
        </w:rPr>
        <w:t xml:space="preserve"> which is also important when searching for information.</w:t>
      </w:r>
    </w:p>
    <w:p w14:paraId="3F1A5523" w14:textId="77777777" w:rsidR="00FA2181" w:rsidRPr="00886DF0" w:rsidRDefault="00FA2181" w:rsidP="00FA2181">
      <w:pPr>
        <w:jc w:val="both"/>
        <w:rPr>
          <w:rFonts w:ascii="Times New Roman" w:hAnsi="Times New Roman" w:cs="Times New Roman"/>
          <w:color w:val="4472C4" w:themeColor="accent1"/>
          <w:sz w:val="24"/>
          <w:szCs w:val="24"/>
          <w:lang w:val="en-US"/>
        </w:rPr>
      </w:pPr>
    </w:p>
    <w:p w14:paraId="6035699E" w14:textId="616A30A7" w:rsidR="001D61EB" w:rsidRPr="00C544E3" w:rsidRDefault="00411A3C" w:rsidP="00FA2181">
      <w:pPr>
        <w:jc w:val="both"/>
        <w:rPr>
          <w:rFonts w:ascii="Times New Roman" w:hAnsi="Times New Roman" w:cs="Times New Roman"/>
        </w:rPr>
      </w:pPr>
      <w:r w:rsidRPr="00C544E3">
        <w:rPr>
          <w:rFonts w:ascii="Times New Roman" w:hAnsi="Times New Roman" w:cs="Times New Roman"/>
        </w:rPr>
        <w:t xml:space="preserve"> </w:t>
      </w:r>
    </w:p>
    <w:sectPr w:rsidR="001D61EB" w:rsidRPr="00C544E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DBDE6" w14:textId="77777777" w:rsidR="002879DE" w:rsidRDefault="002879DE" w:rsidP="00EE2DF1">
      <w:pPr>
        <w:spacing w:after="0" w:line="240" w:lineRule="auto"/>
      </w:pPr>
      <w:r>
        <w:separator/>
      </w:r>
    </w:p>
  </w:endnote>
  <w:endnote w:type="continuationSeparator" w:id="0">
    <w:p w14:paraId="4190E795" w14:textId="77777777" w:rsidR="002879DE" w:rsidRDefault="002879DE" w:rsidP="00EE2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2161186"/>
      <w:docPartObj>
        <w:docPartGallery w:val="Page Numbers (Bottom of Page)"/>
        <w:docPartUnique/>
      </w:docPartObj>
    </w:sdtPr>
    <w:sdtEndPr>
      <w:rPr>
        <w:color w:val="7F7F7F" w:themeColor="background1" w:themeShade="7F"/>
        <w:spacing w:val="60"/>
      </w:rPr>
    </w:sdtEndPr>
    <w:sdtContent>
      <w:p w14:paraId="3BFC470C" w14:textId="62DD6A6D" w:rsidR="00F408AF" w:rsidRDefault="00F408AF">
        <w:pPr>
          <w:pStyle w:val="Footer"/>
          <w:pBdr>
            <w:top w:val="single" w:sz="4" w:space="1" w:color="D9D9D9" w:themeColor="background1" w:themeShade="D9"/>
          </w:pBdr>
          <w:jc w:val="right"/>
        </w:pPr>
        <w:r>
          <w:fldChar w:fldCharType="begin"/>
        </w:r>
        <w:r>
          <w:instrText xml:space="preserve"> PAGE   \* MERGEFORMAT </w:instrText>
        </w:r>
        <w:r>
          <w:fldChar w:fldCharType="separate"/>
        </w:r>
        <w:r w:rsidR="00C416ED">
          <w:rPr>
            <w:noProof/>
          </w:rPr>
          <w:t>2</w:t>
        </w:r>
        <w:r>
          <w:rPr>
            <w:noProof/>
          </w:rPr>
          <w:fldChar w:fldCharType="end"/>
        </w:r>
        <w:r>
          <w:t xml:space="preserve"> | </w:t>
        </w:r>
        <w:r>
          <w:rPr>
            <w:color w:val="7F7F7F" w:themeColor="background1" w:themeShade="7F"/>
            <w:spacing w:val="60"/>
          </w:rPr>
          <w:t>Page</w:t>
        </w:r>
      </w:p>
    </w:sdtContent>
  </w:sdt>
  <w:p w14:paraId="6FF53E8E" w14:textId="77777777" w:rsidR="00F408AF" w:rsidRDefault="00F40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CA958" w14:textId="77777777" w:rsidR="002879DE" w:rsidRDefault="002879DE" w:rsidP="00EE2DF1">
      <w:pPr>
        <w:spacing w:after="0" w:line="240" w:lineRule="auto"/>
      </w:pPr>
      <w:r>
        <w:separator/>
      </w:r>
    </w:p>
  </w:footnote>
  <w:footnote w:type="continuationSeparator" w:id="0">
    <w:p w14:paraId="2AE9DE59" w14:textId="77777777" w:rsidR="002879DE" w:rsidRDefault="002879DE" w:rsidP="00EE2DF1">
      <w:pPr>
        <w:spacing w:after="0" w:line="240" w:lineRule="auto"/>
      </w:pPr>
      <w:r>
        <w:continuationSeparator/>
      </w:r>
    </w:p>
  </w:footnote>
  <w:footnote w:id="1">
    <w:p w14:paraId="3DEF6743" w14:textId="50B1F381" w:rsidR="009650D1" w:rsidRPr="004F325F" w:rsidRDefault="009650D1" w:rsidP="004F325F">
      <w:pPr>
        <w:pStyle w:val="FootnoteText"/>
        <w:jc w:val="both"/>
        <w:rPr>
          <w:rFonts w:ascii="Times New Roman" w:hAnsi="Times New Roman" w:cs="Times New Roman"/>
          <w:lang w:val="en-US"/>
        </w:rPr>
      </w:pPr>
      <w:r w:rsidRPr="004F325F">
        <w:rPr>
          <w:rStyle w:val="FootnoteReference"/>
          <w:rFonts w:ascii="Times New Roman" w:hAnsi="Times New Roman" w:cs="Times New Roman"/>
        </w:rPr>
        <w:footnoteRef/>
      </w:r>
      <w:r w:rsidRPr="004F325F">
        <w:rPr>
          <w:rFonts w:ascii="Times New Roman" w:hAnsi="Times New Roman" w:cs="Times New Roman"/>
        </w:rPr>
        <w:t xml:space="preserve"> </w:t>
      </w:r>
      <w:r w:rsidRPr="004F325F">
        <w:rPr>
          <w:rFonts w:ascii="Times New Roman" w:hAnsi="Times New Roman" w:cs="Times New Roman"/>
        </w:rPr>
        <w:fldChar w:fldCharType="begin"/>
      </w:r>
      <w:r w:rsidRPr="004F325F">
        <w:rPr>
          <w:rFonts w:ascii="Times New Roman" w:hAnsi="Times New Roman" w:cs="Times New Roman"/>
        </w:rPr>
        <w:instrText xml:space="preserve"> ADDIN ZOTERO_ITEM CSL_CITATION {"citationID":"CbTU5UbM","properties":{"formattedCitation":"\\uc0\\u8216{}I\\uc0\\u353{}tuokos - Oficialiosios Statistikos Portalas\\uc0\\u8217{} &lt;https://osp.stat.gov.lt/lietuvos-gyventojai-2022/santuokos-ir-istuokos/istuokos&gt; accessed 2 December 2022.","plainCitation":"‘Ištuokos - Oficialiosios Statistikos Portalas’ &lt;https://osp.stat.gov.lt/lietuvos-gyventojai-2022/santuokos-ir-istuokos/istuokos&gt; accessed 2 December 2022.","noteIndex":2},"citationItems":[{"id":1291,"uris":["http://zotero.org/users/8075071/items/6P7EC2SA"],"itemData":{"id":1291,"type":"webpage","title":"Ištuokos - Oficialiosios statistikos portalas","URL":"https://osp.stat.gov.lt/lietuvos-gyventojai-2022/santuokos-ir-istuokos/istuokos","accessed":{"date-parts":[["2022",12,2]]}}}],"schema":"https://github.com/citation-style-language/schema/raw/master/csl-citation.json"} </w:instrText>
      </w:r>
      <w:r w:rsidRPr="004F325F">
        <w:rPr>
          <w:rFonts w:ascii="Times New Roman" w:hAnsi="Times New Roman" w:cs="Times New Roman"/>
        </w:rPr>
        <w:fldChar w:fldCharType="separate"/>
      </w:r>
      <w:r w:rsidRPr="004F325F">
        <w:rPr>
          <w:rFonts w:ascii="Times New Roman" w:hAnsi="Times New Roman" w:cs="Times New Roman"/>
        </w:rPr>
        <w:t>‘Ištuokos - Oficialiosios Statistikos Portalas’ &lt;https://osp.stat.gov.lt/lietuvos-gyventojai-2022/santuokos-ir-istuokos/istuokos&gt; accessed 2 December 2022.</w:t>
      </w:r>
      <w:r w:rsidRPr="004F325F">
        <w:rPr>
          <w:rFonts w:ascii="Times New Roman" w:hAnsi="Times New Roman" w:cs="Times New Roman"/>
        </w:rPr>
        <w:fldChar w:fldCharType="end"/>
      </w:r>
    </w:p>
  </w:footnote>
  <w:footnote w:id="2">
    <w:p w14:paraId="2471CFB7" w14:textId="4DA6042B" w:rsidR="00803BE2" w:rsidRPr="004F325F" w:rsidRDefault="00803BE2" w:rsidP="004F325F">
      <w:pPr>
        <w:pStyle w:val="FootnoteText"/>
        <w:jc w:val="both"/>
        <w:rPr>
          <w:rFonts w:ascii="Times New Roman" w:hAnsi="Times New Roman" w:cs="Times New Roman"/>
          <w:lang w:val="en-US"/>
        </w:rPr>
      </w:pPr>
      <w:r w:rsidRPr="004F325F">
        <w:rPr>
          <w:rStyle w:val="FootnoteReference"/>
          <w:rFonts w:ascii="Times New Roman" w:hAnsi="Times New Roman" w:cs="Times New Roman"/>
        </w:rPr>
        <w:footnoteRef/>
      </w:r>
      <w:r w:rsidRPr="004F325F">
        <w:rPr>
          <w:rFonts w:ascii="Times New Roman" w:hAnsi="Times New Roman" w:cs="Times New Roman"/>
        </w:rPr>
        <w:t xml:space="preserve"> </w:t>
      </w:r>
      <w:r w:rsidR="003B7319" w:rsidRPr="004F325F">
        <w:rPr>
          <w:rFonts w:ascii="Times New Roman" w:hAnsi="Times New Roman" w:cs="Times New Roman"/>
        </w:rPr>
        <w:t xml:space="preserve">In 2021, first instance Lithuanian courts rendered 8958 decisions in total in divorce cases. There is no reported data on the number of family cases in appeal courts (only the number of civil cases is available). </w:t>
      </w:r>
      <w:r w:rsidRPr="004F325F">
        <w:rPr>
          <w:rFonts w:ascii="Times New Roman" w:hAnsi="Times New Roman" w:cs="Times New Roman"/>
        </w:rPr>
        <w:fldChar w:fldCharType="begin"/>
      </w:r>
      <w:r w:rsidRPr="004F325F">
        <w:rPr>
          <w:rFonts w:ascii="Times New Roman" w:hAnsi="Times New Roman" w:cs="Times New Roman"/>
        </w:rPr>
        <w:instrText xml:space="preserve"> ADDIN ZOTERO_ITEM CSL_CITATION {"citationID":"4uLcNzss","properties":{"formattedCitation":"\\uc0\\u8216{}Statistika - Lietuvos Teismai\\uc0\\u8217{} &lt;https://www.teismai.lt/lt/visuomenei-ir-ziniasklaidai/statistika/106&gt; accessed 2 December 2022.","plainCitation":"‘Statistika - Lietuvos Teismai’ &lt;https://www.teismai.lt/lt/visuomenei-ir-ziniasklaidai/statistika/106&gt; accessed 2 December 2022.","noteIndex":3},"citationItems":[{"id":1295,"uris":["http://zotero.org/users/8075071/items/BVSJV8KD"],"itemData":{"id":1295,"type":"webpage","title":"Statistika - Lietuvos teismai","URL":"https://www.teismai.lt/lt/visuomenei-ir-ziniasklaidai/statistika/106","accessed":{"date-parts":[["2022",12,2]]}}}],"schema":"https://github.com/citation-style-language/schema/raw/master/csl-citation.json"} </w:instrText>
      </w:r>
      <w:r w:rsidRPr="004F325F">
        <w:rPr>
          <w:rFonts w:ascii="Times New Roman" w:hAnsi="Times New Roman" w:cs="Times New Roman"/>
        </w:rPr>
        <w:fldChar w:fldCharType="separate"/>
      </w:r>
      <w:r w:rsidRPr="004F325F">
        <w:rPr>
          <w:rFonts w:ascii="Times New Roman" w:hAnsi="Times New Roman" w:cs="Times New Roman"/>
        </w:rPr>
        <w:t>‘Statistika - Lietuvos Teismai’ &lt;https://www.teismai.lt/lt/visuomenei-ir-ziniasklaidai/statistika/106&gt; accessed 2 December 2022.</w:t>
      </w:r>
      <w:r w:rsidRPr="004F325F">
        <w:rPr>
          <w:rFonts w:ascii="Times New Roman" w:hAnsi="Times New Roman" w:cs="Times New Roman"/>
        </w:rPr>
        <w:fldChar w:fldCharType="end"/>
      </w:r>
    </w:p>
  </w:footnote>
  <w:footnote w:id="3">
    <w:p w14:paraId="71A6289A" w14:textId="1F925168" w:rsidR="00EE760D" w:rsidRPr="004F325F" w:rsidRDefault="00EE760D" w:rsidP="004F325F">
      <w:pPr>
        <w:pStyle w:val="FootnoteText"/>
        <w:jc w:val="both"/>
        <w:rPr>
          <w:rFonts w:ascii="Times New Roman" w:hAnsi="Times New Roman" w:cs="Times New Roman"/>
          <w:lang w:val="en-US"/>
        </w:rPr>
      </w:pPr>
      <w:r w:rsidRPr="004F325F">
        <w:rPr>
          <w:rStyle w:val="FootnoteReference"/>
          <w:rFonts w:ascii="Times New Roman" w:hAnsi="Times New Roman" w:cs="Times New Roman"/>
        </w:rPr>
        <w:footnoteRef/>
      </w:r>
      <w:r w:rsidRPr="004F325F">
        <w:rPr>
          <w:rFonts w:ascii="Times New Roman" w:hAnsi="Times New Roman" w:cs="Times New Roman"/>
        </w:rPr>
        <w:t xml:space="preserve"> </w:t>
      </w:r>
      <w:r w:rsidR="004333C1" w:rsidRPr="004F325F">
        <w:rPr>
          <w:rFonts w:ascii="Times New Roman" w:hAnsi="Times New Roman" w:cs="Times New Roman"/>
        </w:rPr>
        <w:t xml:space="preserve">Annual Report (2021) of State Child Rights Protection and Adoption Service under the Ministry of Social Security and Labour. Available at: </w:t>
      </w:r>
      <w:r w:rsidRPr="004F325F">
        <w:rPr>
          <w:rFonts w:ascii="Times New Roman" w:hAnsi="Times New Roman" w:cs="Times New Roman"/>
        </w:rPr>
        <w:t>https://vaikoteises.lrv.lt/uploads/vaikoteises/documents/files/Administracinė%20informacija/Ataskaitos/Metinės%20veiklos%20ataskaitos/2021%20m_%20veiklos%20ataskaita%20.pdf</w:t>
      </w:r>
    </w:p>
  </w:footnote>
  <w:footnote w:id="4">
    <w:p w14:paraId="23513374" w14:textId="4545763F" w:rsidR="00787CB6" w:rsidRPr="004F325F" w:rsidRDefault="00787CB6" w:rsidP="004F325F">
      <w:pPr>
        <w:pStyle w:val="FootnoteText"/>
        <w:jc w:val="both"/>
        <w:rPr>
          <w:rFonts w:ascii="Times New Roman" w:hAnsi="Times New Roman" w:cs="Times New Roman"/>
          <w:lang w:val="lt-LT"/>
        </w:rPr>
      </w:pPr>
      <w:r w:rsidRPr="004F325F">
        <w:rPr>
          <w:rStyle w:val="FootnoteReference"/>
          <w:rFonts w:ascii="Times New Roman" w:hAnsi="Times New Roman" w:cs="Times New Roman"/>
        </w:rPr>
        <w:footnoteRef/>
      </w:r>
      <w:r w:rsidRPr="004F325F">
        <w:rPr>
          <w:rFonts w:ascii="Times New Roman" w:hAnsi="Times New Roman" w:cs="Times New Roman"/>
        </w:rPr>
        <w:t xml:space="preserve"> </w:t>
      </w:r>
      <w:r w:rsidR="00A350F7" w:rsidRPr="004F325F">
        <w:rPr>
          <w:rFonts w:ascii="Times New Roman" w:hAnsi="Times New Roman" w:cs="Times New Roman"/>
        </w:rPr>
        <w:t xml:space="preserve">LITEKO; </w:t>
      </w:r>
      <w:r w:rsidRPr="004F325F">
        <w:rPr>
          <w:rFonts w:ascii="Times New Roman" w:hAnsi="Times New Roman" w:cs="Times New Roman"/>
        </w:rPr>
        <w:t>Searched for the following categories: 2021; 3.1 Matters relating to marriage; 3.2 Matters relating to the rights and obligations of children and parents; 3.3 Matters relating to the maintenance of other family members; 3.1.1. 3.1.2. reduction of the age of marriage; 3.1.3. annulment of marriage; 3.1.4. divorce by common consent of both spouses; 3.1.5. divorce at the request of one spouse; 3. 3.1.6. the dissolution of the marriage due to the fault of one or both spouses; 3.1.7. the separation of the spouses; 3.1.8. the division of the matrimonial property; 3. 3.1.9. the modification or dissolution of the marriage contract; 3.1.10. the civil liability of the spouses for their property obligations; 3.1.11. other proceedings relating to marriage; 3.2.1. 3.2.2.3. on the recognition of paternity; 3.2.3. on the contestation of paternity; 3.2.2. on the establishment of paternity; 3.2.4. on the name of the child; 3.2.5. on the establishment of the child's place of residence; 3.2.6. 3.2.7. the child's contact with close relatives; 3.2.8. the separation of children and parents; 3.2.9. the limitation of parental authority for a limited period; 3. 3.2.10. on the indefinite limitation of parental authority; 3.2.11. on the rights and obligations of parents with regard to property belonging to their children; 3.2.12. on the award of maintenance for minor children; 3.2.13. on the obligation of parents to maintain their children after they have reached the age of majority; 3.2.14. on the obligation of adult children to maintain their parents; 3.2.15. on other cases concerning the rights and obligations of children and parents;</w:t>
      </w:r>
    </w:p>
  </w:footnote>
  <w:footnote w:id="5">
    <w:p w14:paraId="6F16442A" w14:textId="74348DA2" w:rsidR="00D35FC8" w:rsidRPr="004F325F" w:rsidRDefault="00D35FC8" w:rsidP="004F325F">
      <w:pPr>
        <w:pStyle w:val="FootnoteText"/>
        <w:jc w:val="both"/>
        <w:rPr>
          <w:rFonts w:ascii="Times New Roman" w:hAnsi="Times New Roman" w:cs="Times New Roman"/>
          <w:lang w:val="en-US"/>
        </w:rPr>
      </w:pPr>
      <w:r w:rsidRPr="004F325F">
        <w:rPr>
          <w:rStyle w:val="FootnoteReference"/>
          <w:rFonts w:ascii="Times New Roman" w:hAnsi="Times New Roman" w:cs="Times New Roman"/>
        </w:rPr>
        <w:footnoteRef/>
      </w:r>
      <w:r w:rsidRPr="004F325F">
        <w:rPr>
          <w:rFonts w:ascii="Times New Roman" w:hAnsi="Times New Roman" w:cs="Times New Roman"/>
        </w:rPr>
        <w:t xml:space="preserve"> It should be noted that there are three main case law search engines in Lithuania. The first one, LITEKO, is the main one used by courts, however, it is excellent to access concrete cases, but does not give many options when researching cases for academic purposes. Another engine is INFOLEX, a commercial engine, typically used by lawyers. The third one is E-TEISMAI, which was a very handy engine until 2020, however, no cases are included after that date.</w:t>
      </w:r>
    </w:p>
  </w:footnote>
  <w:footnote w:id="6">
    <w:p w14:paraId="465CD97B" w14:textId="77777777" w:rsidR="00EC7006" w:rsidRPr="004F325F" w:rsidRDefault="00EC7006" w:rsidP="004F325F">
      <w:pPr>
        <w:pStyle w:val="FootnoteText"/>
        <w:jc w:val="both"/>
        <w:rPr>
          <w:rFonts w:ascii="Times New Roman" w:hAnsi="Times New Roman" w:cs="Times New Roman"/>
        </w:rPr>
      </w:pPr>
      <w:r w:rsidRPr="004F325F">
        <w:rPr>
          <w:rStyle w:val="FootnoteReference"/>
          <w:rFonts w:ascii="Times New Roman" w:hAnsi="Times New Roman" w:cs="Times New Roman"/>
        </w:rPr>
        <w:footnoteRef/>
      </w:r>
      <w:r w:rsidRPr="004F325F">
        <w:rPr>
          <w:rFonts w:ascii="Times New Roman" w:hAnsi="Times New Roman" w:cs="Times New Roman"/>
        </w:rPr>
        <w:t xml:space="preserve"> See further about Lithuanian judicial system</w:t>
      </w:r>
      <w:r w:rsidRPr="004F325F">
        <w:rPr>
          <w:rFonts w:ascii="Times New Roman" w:hAnsi="Times New Roman" w:cs="Times New Roman"/>
          <w:lang w:val="en-US"/>
        </w:rPr>
        <w:t xml:space="preserve"> in the official Lithuanian judicial system website</w:t>
      </w:r>
      <w:r w:rsidRPr="004F325F">
        <w:rPr>
          <w:rFonts w:ascii="Times New Roman" w:hAnsi="Times New Roman" w:cs="Times New Roman"/>
        </w:rPr>
        <w:t xml:space="preserve">: </w:t>
      </w:r>
      <w:hyperlink r:id="rId1" w:history="1">
        <w:r w:rsidRPr="004F325F">
          <w:rPr>
            <w:rStyle w:val="Hyperlink"/>
            <w:rFonts w:ascii="Times New Roman" w:hAnsi="Times New Roman" w:cs="Times New Roman"/>
            <w:color w:val="auto"/>
          </w:rPr>
          <w:t>https://www.teismai.lt/en/courts/judicial-system/</w:t>
        </w:r>
      </w:hyperlink>
      <w:r w:rsidRPr="004F325F">
        <w:rPr>
          <w:rFonts w:ascii="Times New Roman" w:hAnsi="Times New Roman" w:cs="Times New Roman"/>
        </w:rPr>
        <w:t>.</w:t>
      </w:r>
    </w:p>
  </w:footnote>
  <w:footnote w:id="7">
    <w:p w14:paraId="66B6EDB1" w14:textId="77777777" w:rsidR="00EC7006" w:rsidRPr="004F325F" w:rsidRDefault="00EC7006" w:rsidP="004F325F">
      <w:pPr>
        <w:pStyle w:val="FootnoteText"/>
        <w:jc w:val="both"/>
        <w:rPr>
          <w:rFonts w:ascii="Times New Roman" w:hAnsi="Times New Roman" w:cs="Times New Roman"/>
        </w:rPr>
      </w:pPr>
      <w:r w:rsidRPr="004F325F">
        <w:rPr>
          <w:rStyle w:val="FootnoteReference"/>
          <w:rFonts w:ascii="Times New Roman" w:hAnsi="Times New Roman" w:cs="Times New Roman"/>
        </w:rPr>
        <w:footnoteRef/>
      </w:r>
      <w:r w:rsidRPr="004F325F">
        <w:rPr>
          <w:rFonts w:ascii="Times New Roman" w:hAnsi="Times New Roman" w:cs="Times New Roman"/>
        </w:rPr>
        <w:t xml:space="preserve"> </w:t>
      </w:r>
      <w:r w:rsidRPr="004F325F">
        <w:rPr>
          <w:rFonts w:ascii="Times New Roman" w:eastAsia="Times New Roman" w:hAnsi="Times New Roman" w:cs="Times New Roman"/>
        </w:rPr>
        <w:t>Valstybės žinios, 2002-04-06, Nr. 36-1340.</w:t>
      </w:r>
    </w:p>
  </w:footnote>
  <w:footnote w:id="8">
    <w:p w14:paraId="14E02DE0" w14:textId="63E07D6B" w:rsidR="000B1442" w:rsidRPr="004F325F" w:rsidRDefault="000B1442" w:rsidP="004F325F">
      <w:pPr>
        <w:pStyle w:val="FootnoteText"/>
        <w:jc w:val="both"/>
        <w:rPr>
          <w:rFonts w:ascii="Times New Roman" w:hAnsi="Times New Roman" w:cs="Times New Roman"/>
          <w:lang w:val="lt-LT"/>
        </w:rPr>
      </w:pPr>
      <w:r w:rsidRPr="004F325F">
        <w:rPr>
          <w:rStyle w:val="FootnoteReference"/>
          <w:rFonts w:ascii="Times New Roman" w:hAnsi="Times New Roman" w:cs="Times New Roman"/>
        </w:rPr>
        <w:footnoteRef/>
      </w:r>
      <w:r w:rsidRPr="004F325F">
        <w:rPr>
          <w:rFonts w:ascii="Times New Roman" w:hAnsi="Times New Roman" w:cs="Times New Roman"/>
        </w:rPr>
        <w:t xml:space="preserve"> </w:t>
      </w:r>
      <w:r w:rsidRPr="004F325F">
        <w:rPr>
          <w:rFonts w:ascii="Times New Roman" w:hAnsi="Times New Roman" w:cs="Times New Roman"/>
        </w:rPr>
        <w:t xml:space="preserve">Lietuvos Respublikos civilinį procesą reglamentuojančių Europos Sąjungos ir tarptautinės teisės aktų įgyvendinimo įstatymas. </w:t>
      </w:r>
      <w:r w:rsidRPr="004F325F">
        <w:rPr>
          <w:rFonts w:ascii="Times New Roman" w:hAnsi="Times New Roman" w:cs="Times New Roman"/>
          <w:shd w:val="clear" w:color="auto" w:fill="FFFFFF"/>
        </w:rPr>
        <w:t>Valstybės žinios, 2008-11-29, Nr. 137-5366</w:t>
      </w:r>
    </w:p>
  </w:footnote>
  <w:footnote w:id="9">
    <w:p w14:paraId="167B79E6" w14:textId="0B357660" w:rsidR="003F0FED" w:rsidRPr="004F325F" w:rsidRDefault="003F0FED" w:rsidP="004F325F">
      <w:pPr>
        <w:pStyle w:val="FootnoteText"/>
        <w:jc w:val="both"/>
        <w:rPr>
          <w:rFonts w:ascii="Times New Roman" w:hAnsi="Times New Roman" w:cs="Times New Roman"/>
        </w:rPr>
      </w:pPr>
      <w:r w:rsidRPr="004F325F">
        <w:rPr>
          <w:rStyle w:val="FootnoteReference"/>
          <w:rFonts w:ascii="Times New Roman" w:hAnsi="Times New Roman" w:cs="Times New Roman"/>
        </w:rPr>
        <w:footnoteRef/>
      </w:r>
      <w:r w:rsidRPr="004F325F">
        <w:rPr>
          <w:rFonts w:ascii="Times New Roman" w:hAnsi="Times New Roman" w:cs="Times New Roman"/>
        </w:rPr>
        <w:t xml:space="preserve"> In particular, </w:t>
      </w:r>
      <w:r w:rsidR="0088169E" w:rsidRPr="004F325F">
        <w:rPr>
          <w:rFonts w:ascii="Times New Roman" w:hAnsi="Times New Roman" w:cs="Times New Roman"/>
          <w:i/>
          <w:iCs/>
        </w:rPr>
        <w:t>Re D (A Child) (Abduction: Rights of Custody)</w:t>
      </w:r>
      <w:r w:rsidR="0088169E" w:rsidRPr="004F325F">
        <w:rPr>
          <w:rFonts w:ascii="Times New Roman" w:hAnsi="Times New Roman" w:cs="Times New Roman"/>
        </w:rPr>
        <w:t xml:space="preserve"> [2006] UKHL 51, </w:t>
      </w:r>
      <w:r w:rsidRPr="004F325F">
        <w:rPr>
          <w:rFonts w:ascii="Times New Roman" w:hAnsi="Times New Roman" w:cs="Times New Roman"/>
          <w:i/>
          <w:iCs/>
        </w:rPr>
        <w:t>Re E</w:t>
      </w:r>
      <w:r w:rsidRPr="004F325F">
        <w:rPr>
          <w:rFonts w:ascii="Times New Roman" w:hAnsi="Times New Roman" w:cs="Times New Roman"/>
        </w:rPr>
        <w:t xml:space="preserve"> [2011] UKSC 27</w:t>
      </w:r>
      <w:r w:rsidR="0088169E" w:rsidRPr="004F325F">
        <w:rPr>
          <w:rFonts w:ascii="Times New Roman" w:hAnsi="Times New Roman" w:cs="Times New Roman"/>
        </w:rPr>
        <w:t>,</w:t>
      </w:r>
      <w:r w:rsidRPr="004F325F">
        <w:rPr>
          <w:rFonts w:ascii="Times New Roman" w:hAnsi="Times New Roman" w:cs="Times New Roman"/>
        </w:rPr>
        <w:t xml:space="preserve"> and </w:t>
      </w:r>
      <w:r w:rsidRPr="004F325F">
        <w:rPr>
          <w:rFonts w:ascii="Times New Roman" w:hAnsi="Times New Roman" w:cs="Times New Roman"/>
          <w:i/>
          <w:iCs/>
        </w:rPr>
        <w:t>Re S (A Child) (Abduction: Rights of</w:t>
      </w:r>
      <w:r w:rsidR="0088169E" w:rsidRPr="004F325F">
        <w:rPr>
          <w:rFonts w:ascii="Times New Roman" w:hAnsi="Times New Roman" w:cs="Times New Roman"/>
          <w:i/>
          <w:iCs/>
        </w:rPr>
        <w:t xml:space="preserve"> </w:t>
      </w:r>
      <w:r w:rsidRPr="004F325F">
        <w:rPr>
          <w:rFonts w:ascii="Times New Roman" w:hAnsi="Times New Roman" w:cs="Times New Roman"/>
          <w:i/>
          <w:iCs/>
        </w:rPr>
        <w:t xml:space="preserve">Custody) </w:t>
      </w:r>
      <w:r w:rsidRPr="004F325F">
        <w:rPr>
          <w:rFonts w:ascii="Times New Roman" w:hAnsi="Times New Roman" w:cs="Times New Roman"/>
        </w:rPr>
        <w:t>[2012] UKSC 10</w:t>
      </w:r>
      <w:r w:rsidR="0088169E" w:rsidRPr="004F325F">
        <w:rPr>
          <w:rFonts w:ascii="Times New Roman" w:hAnsi="Times New Roman" w:cs="Times New Roman"/>
        </w:rPr>
        <w:t>.</w:t>
      </w:r>
    </w:p>
  </w:footnote>
  <w:footnote w:id="10">
    <w:p w14:paraId="60C083E7" w14:textId="015ECF2E" w:rsidR="00333568" w:rsidRPr="004F325F" w:rsidRDefault="00333568" w:rsidP="004F325F">
      <w:pPr>
        <w:pStyle w:val="FootnoteText"/>
        <w:jc w:val="both"/>
        <w:rPr>
          <w:rFonts w:ascii="Times New Roman" w:hAnsi="Times New Roman" w:cs="Times New Roman"/>
        </w:rPr>
      </w:pPr>
      <w:r w:rsidRPr="004F325F">
        <w:rPr>
          <w:rStyle w:val="FootnoteReference"/>
          <w:rFonts w:ascii="Times New Roman" w:hAnsi="Times New Roman" w:cs="Times New Roman"/>
        </w:rPr>
        <w:footnoteRef/>
      </w:r>
      <w:r w:rsidRPr="004F325F">
        <w:rPr>
          <w:rFonts w:ascii="Times New Roman" w:hAnsi="Times New Roman" w:cs="Times New Roman"/>
        </w:rPr>
        <w:t xml:space="preserve"> In particular, </w:t>
      </w:r>
      <w:r w:rsidRPr="004F325F">
        <w:rPr>
          <w:rFonts w:ascii="Times New Roman" w:hAnsi="Times New Roman" w:cs="Times New Roman"/>
          <w:i/>
          <w:iCs/>
        </w:rPr>
        <w:t>X v Latvia</w:t>
      </w:r>
      <w:r w:rsidRPr="004F325F">
        <w:rPr>
          <w:rFonts w:ascii="Times New Roman" w:hAnsi="Times New Roman" w:cs="Times New Roman"/>
        </w:rPr>
        <w:t xml:space="preserve"> Application no. 27853/09, Grand Chamber [2013].</w:t>
      </w:r>
    </w:p>
  </w:footnote>
  <w:footnote w:id="11">
    <w:p w14:paraId="174F42B1" w14:textId="77777777" w:rsidR="003903C0" w:rsidRPr="004F325F" w:rsidRDefault="003903C0" w:rsidP="004F325F">
      <w:pPr>
        <w:pStyle w:val="FootnoteText"/>
        <w:jc w:val="both"/>
        <w:rPr>
          <w:rFonts w:ascii="Times New Roman" w:hAnsi="Times New Roman" w:cs="Times New Roman"/>
          <w:iCs/>
          <w:lang w:val="en-US"/>
        </w:rPr>
      </w:pPr>
      <w:r w:rsidRPr="004F325F">
        <w:rPr>
          <w:rStyle w:val="FootnoteReference"/>
          <w:rFonts w:ascii="Times New Roman" w:hAnsi="Times New Roman" w:cs="Times New Roman"/>
        </w:rPr>
        <w:footnoteRef/>
      </w:r>
      <w:r w:rsidRPr="004F325F">
        <w:rPr>
          <w:rFonts w:ascii="Times New Roman" w:hAnsi="Times New Roman" w:cs="Times New Roman"/>
        </w:rPr>
        <w:t xml:space="preserve"> </w:t>
      </w:r>
      <w:r w:rsidRPr="004F325F">
        <w:rPr>
          <w:rFonts w:ascii="Times New Roman" w:hAnsi="Times New Roman" w:cs="Times New Roman"/>
          <w:iCs/>
        </w:rPr>
        <w:t>Lietuvos Aukščiausiasis Teismas (Supreme Court of Lithuania) 25 August 2008, No. 3K-3-403/2008</w:t>
      </w:r>
    </w:p>
  </w:footnote>
  <w:footnote w:id="12">
    <w:p w14:paraId="32BE5AE2" w14:textId="3304536C" w:rsidR="003903C0" w:rsidRPr="004F325F" w:rsidRDefault="003903C0" w:rsidP="004F325F">
      <w:pPr>
        <w:pStyle w:val="FootnoteText"/>
        <w:jc w:val="both"/>
        <w:rPr>
          <w:rFonts w:ascii="Times New Roman" w:hAnsi="Times New Roman" w:cs="Times New Roman"/>
          <w:lang w:val="en-US"/>
        </w:rPr>
      </w:pPr>
      <w:r w:rsidRPr="004F325F">
        <w:rPr>
          <w:rStyle w:val="FootnoteReference"/>
          <w:rFonts w:ascii="Times New Roman" w:hAnsi="Times New Roman" w:cs="Times New Roman"/>
          <w:iCs/>
        </w:rPr>
        <w:footnoteRef/>
      </w:r>
      <w:r w:rsidRPr="004F325F">
        <w:rPr>
          <w:rFonts w:ascii="Times New Roman" w:hAnsi="Times New Roman" w:cs="Times New Roman"/>
          <w:iCs/>
        </w:rPr>
        <w:t xml:space="preserve"> </w:t>
      </w:r>
      <w:r w:rsidR="00B24C2F" w:rsidRPr="004F325F">
        <w:rPr>
          <w:rFonts w:ascii="Times New Roman" w:hAnsi="Times New Roman" w:cs="Times New Roman"/>
          <w:iCs/>
        </w:rPr>
        <w:t xml:space="preserve">Court of Appeal of Lithuania </w:t>
      </w:r>
      <w:r w:rsidR="00B24C2F">
        <w:rPr>
          <w:rFonts w:ascii="Times New Roman" w:hAnsi="Times New Roman" w:cs="Times New Roman"/>
          <w:iCs/>
        </w:rPr>
        <w:t>(</w:t>
      </w:r>
      <w:r w:rsidRPr="004F325F">
        <w:rPr>
          <w:rFonts w:ascii="Times New Roman" w:hAnsi="Times New Roman" w:cs="Times New Roman"/>
          <w:iCs/>
        </w:rPr>
        <w:t>Lietuvos Apeliacinis teismas), 31 January 2013, No. 2-753/2013</w:t>
      </w:r>
    </w:p>
  </w:footnote>
  <w:footnote w:id="13">
    <w:p w14:paraId="72F88E7C" w14:textId="6E3179C7" w:rsidR="003903C0" w:rsidRPr="004F325F" w:rsidRDefault="003903C0" w:rsidP="004F325F">
      <w:pPr>
        <w:pStyle w:val="FootnoteText"/>
        <w:jc w:val="both"/>
        <w:rPr>
          <w:rFonts w:ascii="Times New Roman" w:hAnsi="Times New Roman" w:cs="Times New Roman"/>
          <w:lang w:val="en-US"/>
        </w:rPr>
      </w:pPr>
      <w:r w:rsidRPr="004F325F">
        <w:rPr>
          <w:rStyle w:val="FootnoteReference"/>
          <w:rFonts w:ascii="Times New Roman" w:hAnsi="Times New Roman" w:cs="Times New Roman"/>
        </w:rPr>
        <w:footnoteRef/>
      </w:r>
      <w:r w:rsidRPr="004F325F">
        <w:rPr>
          <w:rFonts w:ascii="Times New Roman" w:hAnsi="Times New Roman" w:cs="Times New Roman"/>
        </w:rPr>
        <w:t xml:space="preserve"> Court of Appeal of Lithuania (</w:t>
      </w:r>
      <w:r w:rsidRPr="004F325F">
        <w:rPr>
          <w:rFonts w:ascii="Times New Roman" w:hAnsi="Times New Roman" w:cs="Times New Roman"/>
        </w:rPr>
        <w:t>Lietuvos apeliacinis teismas), 24 March 2022 Civil case No. e2-362-910/2022</w:t>
      </w:r>
    </w:p>
  </w:footnote>
  <w:footnote w:id="14">
    <w:p w14:paraId="0F5EDA4B" w14:textId="43C4410D" w:rsidR="008F0987" w:rsidRPr="004F325F" w:rsidRDefault="008F0987" w:rsidP="004F325F">
      <w:pPr>
        <w:pStyle w:val="FootnoteText"/>
        <w:jc w:val="both"/>
        <w:rPr>
          <w:rFonts w:ascii="Times New Roman" w:hAnsi="Times New Roman" w:cs="Times New Roman"/>
          <w:lang w:val="en-US"/>
        </w:rPr>
      </w:pPr>
      <w:r w:rsidRPr="004F325F">
        <w:rPr>
          <w:rStyle w:val="FootnoteReference"/>
          <w:rFonts w:ascii="Times New Roman" w:hAnsi="Times New Roman" w:cs="Times New Roman"/>
        </w:rPr>
        <w:footnoteRef/>
      </w:r>
      <w:r w:rsidRPr="004F325F">
        <w:rPr>
          <w:rFonts w:ascii="Times New Roman" w:hAnsi="Times New Roman" w:cs="Times New Roman"/>
        </w:rPr>
        <w:t xml:space="preserve"> Court of Appeal of Lithuania (</w:t>
      </w:r>
      <w:r w:rsidRPr="004F325F">
        <w:rPr>
          <w:rFonts w:ascii="Times New Roman" w:hAnsi="Times New Roman" w:cs="Times New Roman"/>
        </w:rPr>
        <w:t>Lietuvos apeliacinis teismas), 31 March 2022 Civil case No. e2-369-1120/2022</w:t>
      </w:r>
    </w:p>
  </w:footnote>
  <w:footnote w:id="15">
    <w:p w14:paraId="29E34564" w14:textId="5DAEC390" w:rsidR="003903C0" w:rsidRPr="004F325F" w:rsidRDefault="003903C0" w:rsidP="004F325F">
      <w:pPr>
        <w:pStyle w:val="FootnoteText"/>
        <w:jc w:val="both"/>
        <w:rPr>
          <w:rFonts w:ascii="Times New Roman" w:hAnsi="Times New Roman" w:cs="Times New Roman"/>
          <w:iCs/>
          <w:lang w:val="en-US"/>
        </w:rPr>
      </w:pPr>
      <w:r w:rsidRPr="004F325F">
        <w:rPr>
          <w:rStyle w:val="FootnoteReference"/>
          <w:rFonts w:ascii="Times New Roman" w:hAnsi="Times New Roman" w:cs="Times New Roman"/>
        </w:rPr>
        <w:footnoteRef/>
      </w:r>
      <w:r w:rsidRPr="004F325F">
        <w:rPr>
          <w:rFonts w:ascii="Times New Roman" w:hAnsi="Times New Roman" w:cs="Times New Roman"/>
        </w:rPr>
        <w:t xml:space="preserve"> </w:t>
      </w:r>
      <w:r w:rsidR="007677F8" w:rsidRPr="004F325F">
        <w:rPr>
          <w:rFonts w:ascii="Times New Roman" w:hAnsi="Times New Roman" w:cs="Times New Roman"/>
          <w:iCs/>
        </w:rPr>
        <w:t>Supreme Court of Lithuania (</w:t>
      </w:r>
      <w:r w:rsidRPr="004F325F">
        <w:rPr>
          <w:rFonts w:ascii="Times New Roman" w:hAnsi="Times New Roman" w:cs="Times New Roman"/>
          <w:iCs/>
        </w:rPr>
        <w:t>Lietuvos Aukščiausiasis Teismas)</w:t>
      </w:r>
      <w:r w:rsidR="007677F8" w:rsidRPr="004F325F">
        <w:rPr>
          <w:rFonts w:ascii="Times New Roman" w:hAnsi="Times New Roman" w:cs="Times New Roman"/>
          <w:iCs/>
        </w:rPr>
        <w:t>,</w:t>
      </w:r>
      <w:r w:rsidRPr="004F325F">
        <w:rPr>
          <w:rFonts w:ascii="Times New Roman" w:hAnsi="Times New Roman" w:cs="Times New Roman"/>
          <w:iCs/>
        </w:rPr>
        <w:t xml:space="preserve"> 25 August 2008, </w:t>
      </w:r>
      <w:r w:rsidR="007677F8" w:rsidRPr="004F325F">
        <w:rPr>
          <w:rFonts w:ascii="Times New Roman" w:hAnsi="Times New Roman" w:cs="Times New Roman"/>
        </w:rPr>
        <w:t xml:space="preserve">Civil case </w:t>
      </w:r>
      <w:r w:rsidRPr="004F325F">
        <w:rPr>
          <w:rFonts w:ascii="Times New Roman" w:hAnsi="Times New Roman" w:cs="Times New Roman"/>
          <w:iCs/>
        </w:rPr>
        <w:t>No. 3K-3-403/2008</w:t>
      </w:r>
      <w:r w:rsidR="007677F8" w:rsidRPr="004F325F">
        <w:rPr>
          <w:rFonts w:ascii="Times New Roman" w:hAnsi="Times New Roman" w:cs="Times New Roman"/>
          <w:iCs/>
        </w:rPr>
        <w:t>.</w:t>
      </w:r>
    </w:p>
  </w:footnote>
  <w:footnote w:id="16">
    <w:p w14:paraId="46E7B13B" w14:textId="42B6EF18" w:rsidR="00002E77" w:rsidRPr="004F325F" w:rsidRDefault="00002E77" w:rsidP="004F325F">
      <w:pPr>
        <w:pStyle w:val="FootnoteText"/>
        <w:jc w:val="both"/>
        <w:rPr>
          <w:rFonts w:ascii="Times New Roman" w:hAnsi="Times New Roman" w:cs="Times New Roman"/>
        </w:rPr>
      </w:pPr>
      <w:r w:rsidRPr="004F325F">
        <w:rPr>
          <w:rStyle w:val="FootnoteReference"/>
          <w:rFonts w:ascii="Times New Roman" w:hAnsi="Times New Roman" w:cs="Times New Roman"/>
        </w:rPr>
        <w:footnoteRef/>
      </w:r>
      <w:r w:rsidRPr="004F325F">
        <w:rPr>
          <w:rFonts w:ascii="Times New Roman" w:hAnsi="Times New Roman" w:cs="Times New Roman"/>
        </w:rPr>
        <w:t xml:space="preserve"> Council Regulation (EU) 2019/1111 of 25 June 2019 on jurisdiction, the recognition and enforcement of decisions in matrimonial matters and the matters of parental responsibility, and on international child abduction, Article 2</w:t>
      </w:r>
      <w:r w:rsidR="00401457" w:rsidRPr="004F325F">
        <w:rPr>
          <w:rFonts w:ascii="Times New Roman" w:hAnsi="Times New Roman" w:cs="Times New Roman"/>
        </w:rPr>
        <w:t>7</w:t>
      </w:r>
      <w:r w:rsidRPr="004F325F">
        <w:rPr>
          <w:rFonts w:ascii="Times New Roman" w:hAnsi="Times New Roman" w:cs="Times New Roman"/>
        </w:rPr>
        <w:t>.</w:t>
      </w:r>
    </w:p>
  </w:footnote>
  <w:footnote w:id="17">
    <w:p w14:paraId="57B240A2" w14:textId="6B07824B" w:rsidR="00622D88" w:rsidRPr="004F325F" w:rsidRDefault="00622D88" w:rsidP="004F325F">
      <w:pPr>
        <w:pStyle w:val="FootnoteText"/>
        <w:jc w:val="both"/>
        <w:rPr>
          <w:rFonts w:ascii="Times New Roman" w:hAnsi="Times New Roman" w:cs="Times New Roman"/>
          <w:lang w:val="en-US"/>
        </w:rPr>
      </w:pPr>
      <w:r w:rsidRPr="004F325F">
        <w:rPr>
          <w:rStyle w:val="FootnoteReference"/>
          <w:rFonts w:ascii="Times New Roman" w:hAnsi="Times New Roman" w:cs="Times New Roman"/>
        </w:rPr>
        <w:footnoteRef/>
      </w:r>
      <w:r w:rsidRPr="004F325F">
        <w:rPr>
          <w:rFonts w:ascii="Times New Roman" w:hAnsi="Times New Roman" w:cs="Times New Roman"/>
        </w:rPr>
        <w:t xml:space="preserve"> For example, the </w:t>
      </w:r>
      <w:r w:rsidR="007677F8" w:rsidRPr="004F325F">
        <w:rPr>
          <w:rFonts w:ascii="Times New Roman" w:hAnsi="Times New Roman" w:cs="Times New Roman"/>
        </w:rPr>
        <w:t>Court of Appeal of Lithuania (</w:t>
      </w:r>
      <w:r w:rsidR="007677F8" w:rsidRPr="004F325F">
        <w:rPr>
          <w:rFonts w:ascii="Times New Roman" w:hAnsi="Times New Roman" w:cs="Times New Roman"/>
        </w:rPr>
        <w:t>Lietuvos apeliacinis teismas),</w:t>
      </w:r>
      <w:r w:rsidRPr="004F325F">
        <w:rPr>
          <w:rFonts w:ascii="Times New Roman" w:hAnsi="Times New Roman" w:cs="Times New Roman"/>
        </w:rPr>
        <w:t xml:space="preserve"> </w:t>
      </w:r>
      <w:r w:rsidR="007677F8" w:rsidRPr="004F325F">
        <w:rPr>
          <w:rFonts w:ascii="Times New Roman" w:hAnsi="Times New Roman" w:cs="Times New Roman"/>
        </w:rPr>
        <w:t>3 January 2013, c</w:t>
      </w:r>
      <w:r w:rsidRPr="004F325F">
        <w:rPr>
          <w:rFonts w:ascii="Times New Roman" w:hAnsi="Times New Roman" w:cs="Times New Roman"/>
        </w:rPr>
        <w:t xml:space="preserve">ivil </w:t>
      </w:r>
      <w:r w:rsidR="007677F8" w:rsidRPr="004F325F">
        <w:rPr>
          <w:rFonts w:ascii="Times New Roman" w:hAnsi="Times New Roman" w:cs="Times New Roman"/>
        </w:rPr>
        <w:t>c</w:t>
      </w:r>
      <w:r w:rsidRPr="004F325F">
        <w:rPr>
          <w:rFonts w:ascii="Times New Roman" w:hAnsi="Times New Roman" w:cs="Times New Roman"/>
        </w:rPr>
        <w:t xml:space="preserve">ase No 2-6/2013; </w:t>
      </w:r>
      <w:r w:rsidR="007677F8" w:rsidRPr="004F325F">
        <w:rPr>
          <w:rFonts w:ascii="Times New Roman" w:hAnsi="Times New Roman" w:cs="Times New Roman"/>
        </w:rPr>
        <w:t>Court of Appeal of Lithuania (Lietuvos apeliacinis teismas),</w:t>
      </w:r>
      <w:r w:rsidRPr="004F325F">
        <w:rPr>
          <w:rFonts w:ascii="Times New Roman" w:hAnsi="Times New Roman" w:cs="Times New Roman"/>
        </w:rPr>
        <w:t xml:space="preserve"> </w:t>
      </w:r>
      <w:r w:rsidR="007677F8" w:rsidRPr="004F325F">
        <w:rPr>
          <w:rFonts w:ascii="Times New Roman" w:hAnsi="Times New Roman" w:cs="Times New Roman"/>
        </w:rPr>
        <w:t>11 February 2014, c</w:t>
      </w:r>
      <w:r w:rsidRPr="004F325F">
        <w:rPr>
          <w:rFonts w:ascii="Times New Roman" w:hAnsi="Times New Roman" w:cs="Times New Roman"/>
        </w:rPr>
        <w:t xml:space="preserve">ivil </w:t>
      </w:r>
      <w:r w:rsidR="007677F8" w:rsidRPr="004F325F">
        <w:rPr>
          <w:rFonts w:ascii="Times New Roman" w:hAnsi="Times New Roman" w:cs="Times New Roman"/>
        </w:rPr>
        <w:t>c</w:t>
      </w:r>
      <w:r w:rsidRPr="004F325F">
        <w:rPr>
          <w:rFonts w:ascii="Times New Roman" w:hAnsi="Times New Roman" w:cs="Times New Roman"/>
        </w:rPr>
        <w:t xml:space="preserve">ase No 2-372/2014; </w:t>
      </w:r>
      <w:r w:rsidR="007677F8" w:rsidRPr="004F325F">
        <w:rPr>
          <w:rFonts w:ascii="Times New Roman" w:hAnsi="Times New Roman" w:cs="Times New Roman"/>
        </w:rPr>
        <w:t>Court of Appeal of Lithuania (Lietuvos apeliacinis teismas),</w:t>
      </w:r>
      <w:r w:rsidRPr="004F325F">
        <w:rPr>
          <w:rFonts w:ascii="Times New Roman" w:hAnsi="Times New Roman" w:cs="Times New Roman"/>
        </w:rPr>
        <w:t xml:space="preserve"> </w:t>
      </w:r>
      <w:r w:rsidR="007677F8" w:rsidRPr="004F325F">
        <w:rPr>
          <w:rFonts w:ascii="Times New Roman" w:hAnsi="Times New Roman" w:cs="Times New Roman"/>
        </w:rPr>
        <w:t>5 October 2015, c</w:t>
      </w:r>
      <w:r w:rsidRPr="004F325F">
        <w:rPr>
          <w:rFonts w:ascii="Times New Roman" w:hAnsi="Times New Roman" w:cs="Times New Roman"/>
        </w:rPr>
        <w:t xml:space="preserve">ivil </w:t>
      </w:r>
      <w:r w:rsidR="007677F8" w:rsidRPr="004F325F">
        <w:rPr>
          <w:rFonts w:ascii="Times New Roman" w:hAnsi="Times New Roman" w:cs="Times New Roman"/>
        </w:rPr>
        <w:t>c</w:t>
      </w:r>
      <w:r w:rsidRPr="004F325F">
        <w:rPr>
          <w:rFonts w:ascii="Times New Roman" w:hAnsi="Times New Roman" w:cs="Times New Roman"/>
        </w:rPr>
        <w:t xml:space="preserve">ase No 2-1833-516/2015; </w:t>
      </w:r>
      <w:r w:rsidR="007677F8" w:rsidRPr="004F325F">
        <w:rPr>
          <w:rFonts w:ascii="Times New Roman" w:hAnsi="Times New Roman" w:cs="Times New Roman"/>
        </w:rPr>
        <w:t>Court of Appeal of Lithuania (Lietuvos apeliacinis teismas), 30 December 2016, c</w:t>
      </w:r>
      <w:r w:rsidRPr="004F325F">
        <w:rPr>
          <w:rFonts w:ascii="Times New Roman" w:hAnsi="Times New Roman" w:cs="Times New Roman"/>
        </w:rPr>
        <w:t xml:space="preserve">ivil </w:t>
      </w:r>
      <w:r w:rsidR="007677F8" w:rsidRPr="004F325F">
        <w:rPr>
          <w:rFonts w:ascii="Times New Roman" w:hAnsi="Times New Roman" w:cs="Times New Roman"/>
        </w:rPr>
        <w:t>c</w:t>
      </w:r>
      <w:r w:rsidRPr="004F325F">
        <w:rPr>
          <w:rFonts w:ascii="Times New Roman" w:hAnsi="Times New Roman" w:cs="Times New Roman"/>
        </w:rPr>
        <w:t xml:space="preserve">ase No 2-2132-236/2016; </w:t>
      </w:r>
      <w:r w:rsidR="007677F8" w:rsidRPr="004F325F">
        <w:rPr>
          <w:rFonts w:ascii="Times New Roman" w:hAnsi="Times New Roman" w:cs="Times New Roman"/>
        </w:rPr>
        <w:t>Court of Appeal of Lithuania (Lietuvos apeliacinis teismas),</w:t>
      </w:r>
      <w:r w:rsidRPr="004F325F">
        <w:rPr>
          <w:rFonts w:ascii="Times New Roman" w:hAnsi="Times New Roman" w:cs="Times New Roman"/>
        </w:rPr>
        <w:t xml:space="preserve"> </w:t>
      </w:r>
      <w:r w:rsidR="007677F8" w:rsidRPr="004F325F">
        <w:rPr>
          <w:rFonts w:ascii="Times New Roman" w:hAnsi="Times New Roman" w:cs="Times New Roman"/>
        </w:rPr>
        <w:t>17 November 2017, c</w:t>
      </w:r>
      <w:r w:rsidRPr="004F325F">
        <w:rPr>
          <w:rFonts w:ascii="Times New Roman" w:hAnsi="Times New Roman" w:cs="Times New Roman"/>
        </w:rPr>
        <w:t xml:space="preserve">ivil </w:t>
      </w:r>
      <w:r w:rsidR="007677F8" w:rsidRPr="004F325F">
        <w:rPr>
          <w:rFonts w:ascii="Times New Roman" w:hAnsi="Times New Roman" w:cs="Times New Roman"/>
        </w:rPr>
        <w:t>c</w:t>
      </w:r>
      <w:r w:rsidRPr="004F325F">
        <w:rPr>
          <w:rFonts w:ascii="Times New Roman" w:hAnsi="Times New Roman" w:cs="Times New Roman"/>
        </w:rPr>
        <w:t>ase No 2-1955-178/2017</w:t>
      </w:r>
      <w:r w:rsidR="007677F8" w:rsidRPr="004F325F">
        <w:rPr>
          <w:rFonts w:ascii="Times New Roman" w:hAnsi="Times New Roman" w:cs="Times New Roman"/>
        </w:rPr>
        <w:t>.</w:t>
      </w:r>
    </w:p>
  </w:footnote>
  <w:footnote w:id="18">
    <w:p w14:paraId="40B36115" w14:textId="2403EE38" w:rsidR="00002E77" w:rsidRPr="004F325F" w:rsidRDefault="00002E77" w:rsidP="004F325F">
      <w:pPr>
        <w:pStyle w:val="FootnoteText"/>
        <w:jc w:val="both"/>
        <w:rPr>
          <w:rFonts w:ascii="Times New Roman" w:hAnsi="Times New Roman" w:cs="Times New Roman"/>
        </w:rPr>
      </w:pPr>
      <w:r w:rsidRPr="004F325F">
        <w:rPr>
          <w:rStyle w:val="FootnoteReference"/>
          <w:rFonts w:ascii="Times New Roman" w:hAnsi="Times New Roman" w:cs="Times New Roman"/>
        </w:rPr>
        <w:footnoteRef/>
      </w:r>
      <w:r w:rsidRPr="004F325F">
        <w:rPr>
          <w:rFonts w:ascii="Times New Roman" w:hAnsi="Times New Roman" w:cs="Times New Roman"/>
        </w:rPr>
        <w:t xml:space="preserve"> Council Regulation (EU) 2019/1111 of 25 June 2019 on jurisdiction, the recognition and enforcement of decisions in matrimonial matters and the matters of parental responsibility, and on international child abduction, Article 29.</w:t>
      </w:r>
    </w:p>
  </w:footnote>
  <w:footnote w:id="19">
    <w:p w14:paraId="520F6EF9" w14:textId="7C444244" w:rsidR="00F26201" w:rsidRPr="004F325F" w:rsidRDefault="00F26201" w:rsidP="004F325F">
      <w:pPr>
        <w:pStyle w:val="FootnoteText"/>
        <w:jc w:val="both"/>
        <w:rPr>
          <w:rFonts w:ascii="Times New Roman" w:hAnsi="Times New Roman" w:cs="Times New Roman"/>
          <w:lang w:val="lt-LT"/>
        </w:rPr>
      </w:pPr>
      <w:r w:rsidRPr="004F325F">
        <w:rPr>
          <w:rStyle w:val="FootnoteReference"/>
          <w:rFonts w:ascii="Times New Roman" w:hAnsi="Times New Roman" w:cs="Times New Roman"/>
          <w:lang w:val="lt-LT"/>
        </w:rPr>
        <w:footnoteRef/>
      </w:r>
      <w:r w:rsidRPr="004F325F">
        <w:rPr>
          <w:rFonts w:ascii="Times New Roman" w:hAnsi="Times New Roman" w:cs="Times New Roman"/>
          <w:lang w:val="lt-LT"/>
        </w:rPr>
        <w:t xml:space="preserve"> </w:t>
      </w:r>
      <w:r w:rsidR="007677F8" w:rsidRPr="004F325F">
        <w:rPr>
          <w:rFonts w:ascii="Times New Roman" w:hAnsi="Times New Roman" w:cs="Times New Roman"/>
          <w:lang w:val="lt-LT"/>
        </w:rPr>
        <w:t>CJEU,</w:t>
      </w:r>
      <w:r w:rsidRPr="004F325F">
        <w:rPr>
          <w:rFonts w:ascii="Times New Roman" w:hAnsi="Times New Roman" w:cs="Times New Roman"/>
          <w:lang w:val="lt-LT"/>
        </w:rPr>
        <w:t xml:space="preserve"> </w:t>
      </w:r>
      <w:r w:rsidRPr="004F325F">
        <w:rPr>
          <w:rFonts w:ascii="Times New Roman" w:hAnsi="Times New Roman" w:cs="Times New Roman"/>
          <w:i/>
          <w:lang w:val="lt-LT"/>
        </w:rPr>
        <w:t>Rinau</w:t>
      </w:r>
      <w:r w:rsidRPr="004F325F">
        <w:rPr>
          <w:rFonts w:ascii="Times New Roman" w:hAnsi="Times New Roman" w:cs="Times New Roman"/>
          <w:lang w:val="lt-LT"/>
        </w:rPr>
        <w:t>, C-195/08 PPU, ECLI:EU:C:2008:406.</w:t>
      </w:r>
    </w:p>
  </w:footnote>
  <w:footnote w:id="20">
    <w:p w14:paraId="13364C5C" w14:textId="2ADF32B6" w:rsidR="007677F8" w:rsidRPr="004F325F" w:rsidRDefault="007677F8" w:rsidP="004F325F">
      <w:pPr>
        <w:pStyle w:val="FootnoteText"/>
        <w:jc w:val="both"/>
        <w:rPr>
          <w:rFonts w:ascii="Times New Roman" w:hAnsi="Times New Roman" w:cs="Times New Roman"/>
          <w:lang w:val="en-US"/>
        </w:rPr>
      </w:pPr>
      <w:r w:rsidRPr="004F325F">
        <w:rPr>
          <w:rStyle w:val="FootnoteReference"/>
          <w:rFonts w:ascii="Times New Roman" w:hAnsi="Times New Roman" w:cs="Times New Roman"/>
        </w:rPr>
        <w:footnoteRef/>
      </w:r>
      <w:r w:rsidRPr="004F325F">
        <w:rPr>
          <w:rFonts w:ascii="Times New Roman" w:hAnsi="Times New Roman" w:cs="Times New Roman"/>
        </w:rPr>
        <w:t xml:space="preserve"> </w:t>
      </w:r>
      <w:r w:rsidRPr="004F325F">
        <w:rPr>
          <w:rFonts w:ascii="Times New Roman" w:hAnsi="Times New Roman" w:cs="Times New Roman"/>
          <w:lang w:val="lt-LT"/>
        </w:rPr>
        <w:t>In this judgment, for instance, there is a reference to Article 11(</w:t>
      </w:r>
      <w:r w:rsidRPr="004F325F">
        <w:rPr>
          <w:rFonts w:ascii="Times New Roman" w:hAnsi="Times New Roman" w:cs="Times New Roman"/>
          <w:lang w:val="en-US"/>
        </w:rPr>
        <w:t xml:space="preserve">7) made by a first instance court, but no futher analysis was made; the non-return decision of a foreign state court was not overruled, as in the custody case the court considered that the mother should remain the residential parent: </w:t>
      </w:r>
      <w:r w:rsidRPr="004F325F">
        <w:rPr>
          <w:rFonts w:ascii="Times New Roman" w:hAnsi="Times New Roman" w:cs="Times New Roman"/>
          <w:iCs/>
        </w:rPr>
        <w:t xml:space="preserve">Supreme Court of Lithuania (Lietuvos Aukščiausiasis Teismas), 3 December 2020, </w:t>
      </w:r>
      <w:r w:rsidRPr="004F325F">
        <w:rPr>
          <w:rFonts w:ascii="Times New Roman" w:hAnsi="Times New Roman" w:cs="Times New Roman"/>
        </w:rPr>
        <w:t xml:space="preserve">Civil case </w:t>
      </w:r>
      <w:r w:rsidRPr="004F325F">
        <w:rPr>
          <w:rFonts w:ascii="Times New Roman" w:hAnsi="Times New Roman" w:cs="Times New Roman"/>
          <w:iCs/>
        </w:rPr>
        <w:t>No. e3K-3-483-611/2020.</w:t>
      </w:r>
    </w:p>
  </w:footnote>
  <w:footnote w:id="21">
    <w:p w14:paraId="67B25637" w14:textId="5F47EC85" w:rsidR="002155D6" w:rsidRPr="004F325F" w:rsidRDefault="002155D6" w:rsidP="004F325F">
      <w:pPr>
        <w:pStyle w:val="FootnoteText"/>
        <w:jc w:val="both"/>
        <w:rPr>
          <w:rFonts w:ascii="Times New Roman" w:hAnsi="Times New Roman" w:cs="Times New Roman"/>
          <w:lang w:val="lt-LT"/>
        </w:rPr>
      </w:pPr>
      <w:r w:rsidRPr="004F325F">
        <w:rPr>
          <w:rStyle w:val="FootnoteReference"/>
          <w:rFonts w:ascii="Times New Roman" w:hAnsi="Times New Roman" w:cs="Times New Roman"/>
          <w:lang w:val="lt-LT"/>
        </w:rPr>
        <w:footnoteRef/>
      </w:r>
      <w:r w:rsidRPr="004F325F">
        <w:rPr>
          <w:rFonts w:ascii="Times New Roman" w:hAnsi="Times New Roman" w:cs="Times New Roman"/>
          <w:lang w:val="lt-LT"/>
        </w:rPr>
        <w:t xml:space="preserve"> https://www.unicef.org/lac/media/22071/file/Implementation%20Handbook%20for%20the%20CRC.pdf.</w:t>
      </w:r>
    </w:p>
  </w:footnote>
  <w:footnote w:id="22">
    <w:p w14:paraId="735785B5" w14:textId="60F4A7FB" w:rsidR="002155D6" w:rsidRPr="004F325F" w:rsidRDefault="002155D6" w:rsidP="004F325F">
      <w:pPr>
        <w:pStyle w:val="FootnoteText"/>
        <w:jc w:val="both"/>
        <w:rPr>
          <w:rFonts w:ascii="Times New Roman" w:hAnsi="Times New Roman" w:cs="Times New Roman"/>
          <w:lang w:val="lt-LT"/>
        </w:rPr>
      </w:pPr>
      <w:r w:rsidRPr="004F325F">
        <w:rPr>
          <w:rStyle w:val="FootnoteReference"/>
          <w:rFonts w:ascii="Times New Roman" w:hAnsi="Times New Roman" w:cs="Times New Roman"/>
        </w:rPr>
        <w:footnoteRef/>
      </w:r>
      <w:r w:rsidRPr="004F325F">
        <w:rPr>
          <w:rFonts w:ascii="Times New Roman" w:hAnsi="Times New Roman" w:cs="Times New Roman"/>
        </w:rPr>
        <w:t xml:space="preserve"> </w:t>
      </w:r>
      <w:r w:rsidR="00AE27B9" w:rsidRPr="004F325F">
        <w:rPr>
          <w:rFonts w:ascii="Times New Roman" w:hAnsi="Times New Roman" w:cs="Times New Roman"/>
        </w:rPr>
        <w:t>Ubertazzi</w:t>
      </w:r>
      <w:r w:rsidRPr="004F325F">
        <w:rPr>
          <w:rFonts w:ascii="Times New Roman" w:hAnsi="Times New Roman" w:cs="Times New Roman"/>
        </w:rPr>
        <w:t xml:space="preserve">, B. Hearing of the child (Articles 11(4), 23(a)). In </w:t>
      </w:r>
      <w:r w:rsidR="00AE27B9">
        <w:rPr>
          <w:rFonts w:ascii="Times New Roman" w:hAnsi="Times New Roman" w:cs="Times New Roman"/>
        </w:rPr>
        <w:t>H</w:t>
      </w:r>
      <w:r w:rsidR="00AE27B9" w:rsidRPr="004F325F">
        <w:rPr>
          <w:rFonts w:ascii="Times New Roman" w:hAnsi="Times New Roman" w:cs="Times New Roman"/>
        </w:rPr>
        <w:t>onorati</w:t>
      </w:r>
      <w:r w:rsidRPr="004F325F">
        <w:rPr>
          <w:rFonts w:ascii="Times New Roman" w:hAnsi="Times New Roman" w:cs="Times New Roman"/>
        </w:rPr>
        <w:t>, C.</w:t>
      </w:r>
      <w:r w:rsidRPr="004F325F">
        <w:rPr>
          <w:rFonts w:ascii="Times New Roman" w:hAnsi="Times New Roman" w:cs="Times New Roman"/>
          <w:i/>
        </w:rPr>
        <w:t xml:space="preserve"> </w:t>
      </w:r>
      <w:r w:rsidRPr="004F325F">
        <w:rPr>
          <w:rFonts w:ascii="Times New Roman" w:hAnsi="Times New Roman" w:cs="Times New Roman"/>
        </w:rPr>
        <w:t xml:space="preserve">(ed.), </w:t>
      </w:r>
      <w:r w:rsidRPr="004F325F">
        <w:rPr>
          <w:rFonts w:ascii="Times New Roman" w:hAnsi="Times New Roman" w:cs="Times New Roman"/>
          <w:i/>
        </w:rPr>
        <w:t>Jurisdiction in Matrimonial Matters, Parental Responsibility and International Abduction. A Handbook on the Application of Brussels IIa Regulation in National Courts</w:t>
      </w:r>
      <w:r w:rsidRPr="004F325F">
        <w:rPr>
          <w:rFonts w:ascii="Times New Roman" w:hAnsi="Times New Roman" w:cs="Times New Roman"/>
        </w:rPr>
        <w:t xml:space="preserve">. Torino, Giappichelli, 2018. </w:t>
      </w:r>
    </w:p>
  </w:footnote>
  <w:footnote w:id="23">
    <w:p w14:paraId="233CBCAA" w14:textId="10D60384" w:rsidR="00100F2B" w:rsidRPr="004F325F" w:rsidRDefault="00100F2B" w:rsidP="004F325F">
      <w:pPr>
        <w:pStyle w:val="FootnoteText"/>
        <w:jc w:val="both"/>
        <w:rPr>
          <w:rFonts w:ascii="Times New Roman" w:hAnsi="Times New Roman" w:cs="Times New Roman"/>
          <w:lang w:val="lt-LT"/>
        </w:rPr>
      </w:pPr>
      <w:r w:rsidRPr="004F325F">
        <w:rPr>
          <w:rStyle w:val="FootnoteReference"/>
          <w:rFonts w:ascii="Times New Roman" w:hAnsi="Times New Roman" w:cs="Times New Roman"/>
          <w:lang w:val="lt-LT"/>
        </w:rPr>
        <w:footnoteRef/>
      </w:r>
      <w:r w:rsidRPr="004F325F">
        <w:rPr>
          <w:rFonts w:ascii="Times New Roman" w:hAnsi="Times New Roman" w:cs="Times New Roman"/>
          <w:lang w:val="lt-LT"/>
        </w:rPr>
        <w:t xml:space="preserve"> </w:t>
      </w:r>
      <w:r w:rsidR="00AB4497" w:rsidRPr="004F325F">
        <w:rPr>
          <w:rFonts w:ascii="Times New Roman" w:hAnsi="Times New Roman" w:cs="Times New Roman"/>
          <w:lang w:val="lt-LT"/>
        </w:rPr>
        <w:t>Supreme Court of Lithuania (</w:t>
      </w:r>
      <w:r w:rsidRPr="004F325F">
        <w:rPr>
          <w:rFonts w:ascii="Times New Roman" w:hAnsi="Times New Roman" w:cs="Times New Roman"/>
          <w:lang w:val="lt-LT"/>
        </w:rPr>
        <w:t>Lietuvos Aukščiausi</w:t>
      </w:r>
      <w:r w:rsidR="00AB4497" w:rsidRPr="004F325F">
        <w:rPr>
          <w:rFonts w:ascii="Times New Roman" w:hAnsi="Times New Roman" w:cs="Times New Roman"/>
          <w:lang w:val="lt-LT"/>
        </w:rPr>
        <w:t>asis</w:t>
      </w:r>
      <w:r w:rsidRPr="004F325F">
        <w:rPr>
          <w:rFonts w:ascii="Times New Roman" w:hAnsi="Times New Roman" w:cs="Times New Roman"/>
          <w:lang w:val="lt-LT"/>
        </w:rPr>
        <w:t xml:space="preserve"> Teism</w:t>
      </w:r>
      <w:r w:rsidR="00AB4497" w:rsidRPr="004F325F">
        <w:rPr>
          <w:rFonts w:ascii="Times New Roman" w:hAnsi="Times New Roman" w:cs="Times New Roman"/>
          <w:lang w:val="lt-LT"/>
        </w:rPr>
        <w:t>as), 29 May</w:t>
      </w:r>
      <w:r w:rsidRPr="004F325F">
        <w:rPr>
          <w:rFonts w:ascii="Times New Roman" w:hAnsi="Times New Roman" w:cs="Times New Roman"/>
          <w:lang w:val="lt-LT"/>
        </w:rPr>
        <w:t xml:space="preserve"> 2014, </w:t>
      </w:r>
      <w:r w:rsidR="00AB4497" w:rsidRPr="004F325F">
        <w:rPr>
          <w:rFonts w:ascii="Times New Roman" w:hAnsi="Times New Roman" w:cs="Times New Roman"/>
          <w:lang w:val="lt-LT"/>
        </w:rPr>
        <w:t>civil case</w:t>
      </w:r>
      <w:r w:rsidRPr="004F325F">
        <w:rPr>
          <w:rFonts w:ascii="Times New Roman" w:hAnsi="Times New Roman" w:cs="Times New Roman"/>
          <w:lang w:val="lt-LT"/>
        </w:rPr>
        <w:t xml:space="preserve"> N</w:t>
      </w:r>
      <w:r w:rsidR="00AB4497" w:rsidRPr="004F325F">
        <w:rPr>
          <w:rFonts w:ascii="Times New Roman" w:hAnsi="Times New Roman" w:cs="Times New Roman"/>
          <w:lang w:val="lt-LT"/>
        </w:rPr>
        <w:t>o</w:t>
      </w:r>
      <w:r w:rsidRPr="004F325F">
        <w:rPr>
          <w:rFonts w:ascii="Times New Roman" w:hAnsi="Times New Roman" w:cs="Times New Roman"/>
          <w:lang w:val="lt-LT"/>
        </w:rPr>
        <w:t>. 3K-3-308/2014.</w:t>
      </w:r>
    </w:p>
  </w:footnote>
  <w:footnote w:id="24">
    <w:p w14:paraId="65303B8A" w14:textId="7E6863B1" w:rsidR="0018034F" w:rsidRPr="004F325F" w:rsidRDefault="0018034F" w:rsidP="004F325F">
      <w:pPr>
        <w:pStyle w:val="FootnoteText"/>
        <w:jc w:val="both"/>
        <w:rPr>
          <w:rFonts w:ascii="Times New Roman" w:hAnsi="Times New Roman" w:cs="Times New Roman"/>
          <w:lang w:val="en-US"/>
        </w:rPr>
      </w:pPr>
      <w:r w:rsidRPr="004F325F">
        <w:rPr>
          <w:rStyle w:val="FootnoteReference"/>
          <w:rFonts w:ascii="Times New Roman" w:hAnsi="Times New Roman" w:cs="Times New Roman"/>
        </w:rPr>
        <w:footnoteRef/>
      </w:r>
      <w:r w:rsidRPr="004F325F">
        <w:rPr>
          <w:rFonts w:ascii="Times New Roman" w:hAnsi="Times New Roman" w:cs="Times New Roman"/>
        </w:rPr>
        <w:t xml:space="preserve"> Court of Appeal of Lithuania (</w:t>
      </w:r>
      <w:r w:rsidRPr="004F325F">
        <w:rPr>
          <w:rFonts w:ascii="Times New Roman" w:hAnsi="Times New Roman" w:cs="Times New Roman"/>
        </w:rPr>
        <w:t>Lietuvos apeliacinis teismas), 26 July 2022 Civil case No. e2-816-407/2022</w:t>
      </w:r>
    </w:p>
  </w:footnote>
  <w:footnote w:id="25">
    <w:p w14:paraId="01A5C13B" w14:textId="341E9F72" w:rsidR="002A0E63" w:rsidRPr="004F325F" w:rsidRDefault="002A0E63" w:rsidP="004F325F">
      <w:pPr>
        <w:pStyle w:val="FootnoteText"/>
        <w:jc w:val="both"/>
        <w:rPr>
          <w:rFonts w:ascii="Times New Roman" w:hAnsi="Times New Roman" w:cs="Times New Roman"/>
          <w:lang w:val="en-US"/>
        </w:rPr>
      </w:pPr>
      <w:r w:rsidRPr="004F325F">
        <w:rPr>
          <w:rStyle w:val="FootnoteReference"/>
          <w:rFonts w:ascii="Times New Roman" w:hAnsi="Times New Roman" w:cs="Times New Roman"/>
        </w:rPr>
        <w:footnoteRef/>
      </w:r>
      <w:r w:rsidRPr="004F325F">
        <w:rPr>
          <w:rFonts w:ascii="Times New Roman" w:hAnsi="Times New Roman" w:cs="Times New Roman"/>
        </w:rPr>
        <w:t xml:space="preserve"> Court of Appeal of Lithuania (</w:t>
      </w:r>
      <w:r w:rsidRPr="004F325F">
        <w:rPr>
          <w:rFonts w:ascii="Times New Roman" w:hAnsi="Times New Roman" w:cs="Times New Roman"/>
        </w:rPr>
        <w:t>Lietuvos apeliacinis teismas), 22 April 2022 Civil case No. e2-474-790/2022</w:t>
      </w:r>
    </w:p>
  </w:footnote>
  <w:footnote w:id="26">
    <w:p w14:paraId="10F44D73" w14:textId="77777777" w:rsidR="00C65A39" w:rsidRPr="004F325F" w:rsidRDefault="00C65A39" w:rsidP="004F325F">
      <w:pPr>
        <w:pStyle w:val="FootnoteText"/>
        <w:jc w:val="both"/>
        <w:rPr>
          <w:rFonts w:ascii="Times New Roman" w:hAnsi="Times New Roman" w:cs="Times New Roman"/>
          <w:lang w:val="en-US"/>
        </w:rPr>
      </w:pPr>
      <w:r w:rsidRPr="004F325F">
        <w:rPr>
          <w:rStyle w:val="FootnoteReference"/>
          <w:rFonts w:ascii="Times New Roman" w:hAnsi="Times New Roman" w:cs="Times New Roman"/>
        </w:rPr>
        <w:footnoteRef/>
      </w:r>
      <w:r w:rsidRPr="004F325F">
        <w:rPr>
          <w:rFonts w:ascii="Times New Roman" w:hAnsi="Times New Roman" w:cs="Times New Roman"/>
        </w:rPr>
        <w:t xml:space="preserve"> Court of Appeal of Lithuania (</w:t>
      </w:r>
      <w:r w:rsidRPr="004F325F">
        <w:rPr>
          <w:rFonts w:ascii="Times New Roman" w:hAnsi="Times New Roman" w:cs="Times New Roman"/>
        </w:rPr>
        <w:t>Lietuvos apeliacinis teismas), 26 July 2022 Civil case No. e2-816-407/2022</w:t>
      </w:r>
    </w:p>
  </w:footnote>
  <w:footnote w:id="27">
    <w:p w14:paraId="48F15C71" w14:textId="5DD7338C" w:rsidR="00AB4497" w:rsidRPr="004F325F" w:rsidRDefault="00AB4497" w:rsidP="004F325F">
      <w:pPr>
        <w:pStyle w:val="FootnoteText"/>
        <w:jc w:val="both"/>
        <w:rPr>
          <w:rFonts w:ascii="Times New Roman" w:hAnsi="Times New Roman" w:cs="Times New Roman"/>
        </w:rPr>
      </w:pPr>
      <w:r w:rsidRPr="004F325F">
        <w:rPr>
          <w:rStyle w:val="FootnoteReference"/>
          <w:rFonts w:ascii="Times New Roman" w:hAnsi="Times New Roman" w:cs="Times New Roman"/>
        </w:rPr>
        <w:footnoteRef/>
      </w:r>
      <w:r w:rsidRPr="004F325F">
        <w:rPr>
          <w:rFonts w:ascii="Times New Roman" w:hAnsi="Times New Roman" w:cs="Times New Roman"/>
        </w:rPr>
        <w:t xml:space="preserve"> </w:t>
      </w:r>
      <w:r w:rsidRPr="004F325F">
        <w:rPr>
          <w:rFonts w:ascii="Times New Roman" w:hAnsi="Times New Roman" w:cs="Times New Roman"/>
          <w:lang w:val="lt-LT"/>
        </w:rPr>
        <w:t xml:space="preserve">Supreme Court of Lithuania (Lietuvos Aukščiausiasis Teismas), 8 December </w:t>
      </w:r>
      <w:r w:rsidRPr="004F325F">
        <w:rPr>
          <w:rFonts w:ascii="Times New Roman" w:hAnsi="Times New Roman" w:cs="Times New Roman"/>
          <w:bCs/>
          <w:iCs/>
          <w:lang w:val="lt-LT"/>
        </w:rPr>
        <w:t>2016, civil case No. 3K-3-502-916/2016</w:t>
      </w:r>
      <w:r w:rsidRPr="004F325F">
        <w:rPr>
          <w:rFonts w:ascii="Times New Roman" w:hAnsi="Times New Roman" w:cs="Times New Roman"/>
          <w:iCs/>
          <w:lang w:val="lt-LT"/>
        </w:rPr>
        <w:t>.</w:t>
      </w:r>
    </w:p>
  </w:footnote>
  <w:footnote w:id="28">
    <w:p w14:paraId="2AAA32B2" w14:textId="77777777" w:rsidR="00BD78C8" w:rsidRPr="004F325F" w:rsidRDefault="00BD78C8" w:rsidP="004F325F">
      <w:pPr>
        <w:pStyle w:val="FootnoteText"/>
        <w:jc w:val="both"/>
        <w:rPr>
          <w:rFonts w:ascii="Times New Roman" w:hAnsi="Times New Roman" w:cs="Times New Roman"/>
          <w:lang w:val="en-US"/>
        </w:rPr>
      </w:pPr>
      <w:r w:rsidRPr="004F325F">
        <w:rPr>
          <w:rStyle w:val="FootnoteReference"/>
          <w:rFonts w:ascii="Times New Roman" w:hAnsi="Times New Roman" w:cs="Times New Roman"/>
        </w:rPr>
        <w:footnoteRef/>
      </w:r>
      <w:r w:rsidRPr="004F325F">
        <w:rPr>
          <w:rFonts w:ascii="Times New Roman" w:hAnsi="Times New Roman" w:cs="Times New Roman"/>
        </w:rPr>
        <w:t xml:space="preserve"> Court of Appeal of Lithuania (</w:t>
      </w:r>
      <w:r w:rsidRPr="004F325F">
        <w:rPr>
          <w:rFonts w:ascii="Times New Roman" w:hAnsi="Times New Roman" w:cs="Times New Roman"/>
        </w:rPr>
        <w:t>Lietuvos apeliacinis teismas), 31 March 2022 Civil case No. e2-369-1120/2022</w:t>
      </w:r>
    </w:p>
  </w:footnote>
  <w:footnote w:id="29">
    <w:p w14:paraId="3FC5AAD1" w14:textId="4357687A" w:rsidR="00C630E5" w:rsidRPr="004F325F" w:rsidRDefault="00C630E5" w:rsidP="004F325F">
      <w:pPr>
        <w:pStyle w:val="FootnoteText"/>
        <w:jc w:val="both"/>
        <w:rPr>
          <w:rFonts w:ascii="Times New Roman" w:hAnsi="Times New Roman" w:cs="Times New Roman"/>
          <w:lang w:val="en-US"/>
        </w:rPr>
      </w:pPr>
      <w:r w:rsidRPr="004F325F">
        <w:rPr>
          <w:rStyle w:val="FootnoteReference"/>
          <w:rFonts w:ascii="Times New Roman" w:hAnsi="Times New Roman" w:cs="Times New Roman"/>
        </w:rPr>
        <w:footnoteRef/>
      </w:r>
      <w:r w:rsidRPr="004F325F">
        <w:rPr>
          <w:rFonts w:ascii="Times New Roman" w:hAnsi="Times New Roman" w:cs="Times New Roman"/>
        </w:rPr>
        <w:t xml:space="preserve"> Judgment of the European Court of Human Rights (Grand Chamber) of 8 July 2003 in the case of </w:t>
      </w:r>
      <w:r w:rsidRPr="004F325F">
        <w:rPr>
          <w:rFonts w:ascii="Times New Roman" w:hAnsi="Times New Roman" w:cs="Times New Roman"/>
        </w:rPr>
        <w:t>Sahin v. Germany (</w:t>
      </w:r>
      <w:r w:rsidR="008A27D6">
        <w:rPr>
          <w:rFonts w:ascii="Times New Roman" w:hAnsi="Times New Roman" w:cs="Times New Roman"/>
        </w:rPr>
        <w:t>Application</w:t>
      </w:r>
      <w:r w:rsidRPr="004F325F">
        <w:rPr>
          <w:rFonts w:ascii="Times New Roman" w:hAnsi="Times New Roman" w:cs="Times New Roman"/>
        </w:rPr>
        <w:t xml:space="preserve"> No 30943/9))</w:t>
      </w:r>
    </w:p>
  </w:footnote>
  <w:footnote w:id="30">
    <w:p w14:paraId="1D36EE38" w14:textId="2F6971D2" w:rsidR="00C630E5" w:rsidRPr="004F325F" w:rsidRDefault="00C630E5" w:rsidP="004F325F">
      <w:pPr>
        <w:pStyle w:val="FootnoteText"/>
        <w:jc w:val="both"/>
        <w:rPr>
          <w:rFonts w:ascii="Times New Roman" w:hAnsi="Times New Roman" w:cs="Times New Roman"/>
          <w:lang w:val="en-US"/>
        </w:rPr>
      </w:pPr>
      <w:r w:rsidRPr="004F325F">
        <w:rPr>
          <w:rStyle w:val="FootnoteReference"/>
          <w:rFonts w:ascii="Times New Roman" w:hAnsi="Times New Roman" w:cs="Times New Roman"/>
        </w:rPr>
        <w:footnoteRef/>
      </w:r>
      <w:r w:rsidRPr="004F325F">
        <w:rPr>
          <w:rFonts w:ascii="Times New Roman" w:hAnsi="Times New Roman" w:cs="Times New Roman"/>
        </w:rPr>
        <w:t xml:space="preserve"> </w:t>
      </w:r>
      <w:r w:rsidR="001F3CB5">
        <w:rPr>
          <w:rFonts w:ascii="Times New Roman" w:hAnsi="Times New Roman" w:cs="Times New Roman"/>
        </w:rPr>
        <w:t>CJEU,</w:t>
      </w:r>
      <w:r w:rsidRPr="004F325F">
        <w:rPr>
          <w:rFonts w:ascii="Times New Roman" w:hAnsi="Times New Roman" w:cs="Times New Roman"/>
        </w:rPr>
        <w:t xml:space="preserve"> </w:t>
      </w:r>
      <w:r w:rsidRPr="004F325F">
        <w:rPr>
          <w:rFonts w:ascii="Times New Roman" w:hAnsi="Times New Roman" w:cs="Times New Roman"/>
        </w:rPr>
        <w:t>Joseba Andoni Aguirre Zarraga v Simone Pelz</w:t>
      </w:r>
      <w:r w:rsidR="001F3CB5">
        <w:rPr>
          <w:rFonts w:ascii="Times New Roman" w:hAnsi="Times New Roman" w:cs="Times New Roman"/>
        </w:rPr>
        <w:t xml:space="preserve"> (</w:t>
      </w:r>
      <w:r w:rsidR="001F3CB5" w:rsidRPr="004F325F">
        <w:rPr>
          <w:rFonts w:ascii="Times New Roman" w:hAnsi="Times New Roman" w:cs="Times New Roman"/>
        </w:rPr>
        <w:t>Case C-491/10</w:t>
      </w:r>
      <w:r w:rsidR="001F3CB5">
        <w:rPr>
          <w:rFonts w:ascii="Times New Roman" w:hAnsi="Times New Roman" w:cs="Times New Roman"/>
        </w:rPr>
        <w:t>).</w:t>
      </w:r>
    </w:p>
  </w:footnote>
  <w:footnote w:id="31">
    <w:p w14:paraId="45D8625F" w14:textId="77777777" w:rsidR="00BD78C8" w:rsidRPr="004F325F" w:rsidRDefault="00BD78C8" w:rsidP="004F325F">
      <w:pPr>
        <w:pStyle w:val="FootnoteText"/>
        <w:jc w:val="both"/>
        <w:rPr>
          <w:rFonts w:ascii="Times New Roman" w:hAnsi="Times New Roman" w:cs="Times New Roman"/>
          <w:lang w:val="en-US"/>
        </w:rPr>
      </w:pPr>
      <w:r w:rsidRPr="004F325F">
        <w:rPr>
          <w:rStyle w:val="FootnoteReference"/>
          <w:rFonts w:ascii="Times New Roman" w:hAnsi="Times New Roman" w:cs="Times New Roman"/>
        </w:rPr>
        <w:footnoteRef/>
      </w:r>
      <w:r w:rsidRPr="004F325F">
        <w:rPr>
          <w:rFonts w:ascii="Times New Roman" w:hAnsi="Times New Roman" w:cs="Times New Roman"/>
        </w:rPr>
        <w:t xml:space="preserve"> Court of Appeal of Lithuania (</w:t>
      </w:r>
      <w:r w:rsidRPr="004F325F">
        <w:rPr>
          <w:rFonts w:ascii="Times New Roman" w:hAnsi="Times New Roman" w:cs="Times New Roman"/>
        </w:rPr>
        <w:t>Lietuvos apeliacinis teismas), 31 March 2022 Civil case No. e2-369-1120/2022</w:t>
      </w:r>
    </w:p>
  </w:footnote>
  <w:footnote w:id="32">
    <w:p w14:paraId="7BD4D930" w14:textId="77777777" w:rsidR="008A27D6" w:rsidRPr="004F325F" w:rsidRDefault="008A27D6" w:rsidP="008A27D6">
      <w:pPr>
        <w:pStyle w:val="FootnoteText"/>
        <w:jc w:val="both"/>
        <w:rPr>
          <w:rFonts w:ascii="Times New Roman" w:hAnsi="Times New Roman" w:cs="Times New Roman"/>
          <w:lang w:val="lt-LT"/>
        </w:rPr>
      </w:pPr>
      <w:r w:rsidRPr="004F325F">
        <w:rPr>
          <w:rStyle w:val="FootnoteReference"/>
          <w:rFonts w:ascii="Times New Roman" w:hAnsi="Times New Roman" w:cs="Times New Roman"/>
        </w:rPr>
        <w:footnoteRef/>
      </w:r>
      <w:r w:rsidRPr="004F325F">
        <w:rPr>
          <w:rFonts w:ascii="Times New Roman" w:hAnsi="Times New Roman" w:cs="Times New Roman"/>
        </w:rPr>
        <w:t xml:space="preserve"> Supreme Court of Lithuania </w:t>
      </w:r>
      <w:r w:rsidRPr="004F325F">
        <w:rPr>
          <w:rFonts w:ascii="Times New Roman" w:hAnsi="Times New Roman" w:cs="Times New Roman"/>
          <w:lang w:val="lt-LT"/>
        </w:rPr>
        <w:t>(Lietuvos Aukščiausiasis Teismas)</w:t>
      </w:r>
      <w:r w:rsidRPr="004F325F">
        <w:rPr>
          <w:rFonts w:ascii="Times New Roman" w:hAnsi="Times New Roman" w:cs="Times New Roman"/>
        </w:rPr>
        <w:t>, 29 December 2016, civil case No 3K-7-443-969/2016.</w:t>
      </w:r>
    </w:p>
  </w:footnote>
  <w:footnote w:id="33">
    <w:p w14:paraId="32A5EF1F" w14:textId="65E08DC5" w:rsidR="000C689E" w:rsidRPr="004F325F" w:rsidRDefault="000C689E" w:rsidP="004F325F">
      <w:pPr>
        <w:pStyle w:val="FootnoteText"/>
        <w:jc w:val="both"/>
        <w:rPr>
          <w:rFonts w:ascii="Times New Roman" w:hAnsi="Times New Roman" w:cs="Times New Roman"/>
          <w:lang w:val="lt-LT"/>
        </w:rPr>
      </w:pPr>
      <w:r w:rsidRPr="004F325F">
        <w:rPr>
          <w:rStyle w:val="FootnoteReference"/>
          <w:rFonts w:ascii="Times New Roman" w:hAnsi="Times New Roman" w:cs="Times New Roman"/>
        </w:rPr>
        <w:footnoteRef/>
      </w:r>
      <w:r w:rsidRPr="004F325F">
        <w:rPr>
          <w:rFonts w:ascii="Times New Roman" w:hAnsi="Times New Roman" w:cs="Times New Roman"/>
        </w:rPr>
        <w:t xml:space="preserve"> </w:t>
      </w:r>
      <w:r w:rsidR="00471DB8" w:rsidRPr="004F325F">
        <w:rPr>
          <w:rFonts w:ascii="Times New Roman" w:hAnsi="Times New Roman" w:cs="Times New Roman"/>
        </w:rPr>
        <w:t>CJEU,</w:t>
      </w:r>
      <w:r w:rsidRPr="004F325F">
        <w:rPr>
          <w:rFonts w:ascii="Times New Roman" w:hAnsi="Times New Roman" w:cs="Times New Roman"/>
        </w:rPr>
        <w:t xml:space="preserve"> Case A </w:t>
      </w:r>
      <w:r w:rsidR="001F3CB5">
        <w:rPr>
          <w:rFonts w:ascii="Times New Roman" w:hAnsi="Times New Roman" w:cs="Times New Roman"/>
        </w:rPr>
        <w:t>(</w:t>
      </w:r>
      <w:r w:rsidRPr="004F325F">
        <w:rPr>
          <w:rFonts w:ascii="Times New Roman" w:hAnsi="Times New Roman" w:cs="Times New Roman"/>
        </w:rPr>
        <w:t>C-523/07</w:t>
      </w:r>
      <w:r w:rsidR="001F3CB5">
        <w:rPr>
          <w:rFonts w:ascii="Times New Roman" w:hAnsi="Times New Roman" w:cs="Times New Roman"/>
        </w:rPr>
        <w:t>)</w:t>
      </w:r>
      <w:r w:rsidRPr="004F325F">
        <w:rPr>
          <w:rFonts w:ascii="Times New Roman" w:hAnsi="Times New Roman" w:cs="Times New Roman"/>
        </w:rPr>
        <w:t>, paragraph 37.</w:t>
      </w:r>
    </w:p>
  </w:footnote>
  <w:footnote w:id="34">
    <w:p w14:paraId="0B28A057" w14:textId="5A7A948B" w:rsidR="000C689E" w:rsidRPr="004F325F" w:rsidRDefault="000C689E" w:rsidP="004F325F">
      <w:pPr>
        <w:pStyle w:val="FootnoteText"/>
        <w:jc w:val="both"/>
        <w:rPr>
          <w:rFonts w:ascii="Times New Roman" w:hAnsi="Times New Roman" w:cs="Times New Roman"/>
          <w:lang w:val="lt-LT"/>
        </w:rPr>
      </w:pPr>
      <w:r w:rsidRPr="004F325F">
        <w:rPr>
          <w:rStyle w:val="FootnoteReference"/>
          <w:rFonts w:ascii="Times New Roman" w:hAnsi="Times New Roman" w:cs="Times New Roman"/>
        </w:rPr>
        <w:footnoteRef/>
      </w:r>
      <w:r w:rsidRPr="004F325F">
        <w:rPr>
          <w:rFonts w:ascii="Times New Roman" w:hAnsi="Times New Roman" w:cs="Times New Roman"/>
        </w:rPr>
        <w:t xml:space="preserve"> </w:t>
      </w:r>
      <w:r w:rsidR="00471DB8" w:rsidRPr="004F325F">
        <w:rPr>
          <w:rFonts w:ascii="Times New Roman" w:hAnsi="Times New Roman" w:cs="Times New Roman"/>
        </w:rPr>
        <w:t>CJEU,</w:t>
      </w:r>
      <w:r w:rsidRPr="004F325F">
        <w:rPr>
          <w:rFonts w:ascii="Times New Roman" w:hAnsi="Times New Roman" w:cs="Times New Roman"/>
        </w:rPr>
        <w:t xml:space="preserve"> </w:t>
      </w:r>
      <w:r w:rsidR="001F3CB5">
        <w:rPr>
          <w:rFonts w:ascii="Times New Roman" w:hAnsi="Times New Roman" w:cs="Times New Roman"/>
        </w:rPr>
        <w:t>C</w:t>
      </w:r>
      <w:r w:rsidRPr="004F325F">
        <w:rPr>
          <w:rFonts w:ascii="Times New Roman" w:hAnsi="Times New Roman" w:cs="Times New Roman"/>
        </w:rPr>
        <w:t xml:space="preserve">ase B. M. v. R. Ch. </w:t>
      </w:r>
      <w:r w:rsidR="001F3CB5">
        <w:rPr>
          <w:rFonts w:ascii="Times New Roman" w:hAnsi="Times New Roman" w:cs="Times New Roman"/>
        </w:rPr>
        <w:t>(</w:t>
      </w:r>
      <w:r w:rsidRPr="004F325F">
        <w:rPr>
          <w:rFonts w:ascii="Times New Roman" w:hAnsi="Times New Roman" w:cs="Times New Roman"/>
        </w:rPr>
        <w:t>C-497/10 PPU</w:t>
      </w:r>
      <w:r w:rsidR="001F3CB5">
        <w:rPr>
          <w:rFonts w:ascii="Times New Roman" w:hAnsi="Times New Roman" w:cs="Times New Roman"/>
        </w:rPr>
        <w:t>)</w:t>
      </w:r>
      <w:r w:rsidRPr="004F325F">
        <w:rPr>
          <w:rFonts w:ascii="Times New Roman" w:hAnsi="Times New Roman" w:cs="Times New Roman"/>
        </w:rPr>
        <w:t>, paragraph 51</w:t>
      </w:r>
    </w:p>
  </w:footnote>
  <w:footnote w:id="35">
    <w:p w14:paraId="74142B32" w14:textId="264E6BCC" w:rsidR="002C7AF3" w:rsidRPr="004F325F" w:rsidRDefault="002C7AF3" w:rsidP="004F325F">
      <w:pPr>
        <w:pStyle w:val="FootnoteText"/>
        <w:jc w:val="both"/>
        <w:rPr>
          <w:rFonts w:ascii="Times New Roman" w:hAnsi="Times New Roman" w:cs="Times New Roman"/>
          <w:lang w:val="en-US"/>
        </w:rPr>
      </w:pPr>
      <w:r w:rsidRPr="004F325F">
        <w:rPr>
          <w:rStyle w:val="FootnoteReference"/>
          <w:rFonts w:ascii="Times New Roman" w:hAnsi="Times New Roman" w:cs="Times New Roman"/>
        </w:rPr>
        <w:footnoteRef/>
      </w:r>
      <w:r w:rsidRPr="004F325F">
        <w:rPr>
          <w:rFonts w:ascii="Times New Roman" w:hAnsi="Times New Roman" w:cs="Times New Roman"/>
        </w:rPr>
        <w:t xml:space="preserve"> </w:t>
      </w:r>
      <w:r w:rsidRPr="004F325F">
        <w:rPr>
          <w:rFonts w:ascii="Times New Roman" w:hAnsi="Times New Roman" w:cs="Times New Roman"/>
          <w:lang w:val="en-US"/>
        </w:rPr>
        <w:t>Supreme Court of Lithuania (</w:t>
      </w:r>
      <w:r w:rsidRPr="004F325F">
        <w:rPr>
          <w:rFonts w:ascii="Times New Roman" w:hAnsi="Times New Roman" w:cs="Times New Roman"/>
          <w:lang w:val="en-US"/>
        </w:rPr>
        <w:t>Lietuvos Auk</w:t>
      </w:r>
      <w:r w:rsidRPr="004F325F">
        <w:rPr>
          <w:rFonts w:ascii="Times New Roman" w:hAnsi="Times New Roman" w:cs="Times New Roman"/>
          <w:lang w:val="lt-LT"/>
        </w:rPr>
        <w:t xml:space="preserve">ščiausiasis Teismas), An Overview of the Application of International and European Union Law to the Question of Jurisdiction on Family Proceedings. </w:t>
      </w:r>
      <w:r w:rsidRPr="004F325F">
        <w:rPr>
          <w:rFonts w:ascii="Times New Roman" w:hAnsi="Times New Roman" w:cs="Times New Roman"/>
          <w:lang w:val="en-US"/>
        </w:rPr>
        <w:t>2018</w:t>
      </w:r>
    </w:p>
  </w:footnote>
  <w:footnote w:id="36">
    <w:p w14:paraId="6459EA92" w14:textId="2DA81562" w:rsidR="00582D02" w:rsidRPr="004F325F" w:rsidRDefault="00582D02" w:rsidP="004F325F">
      <w:pPr>
        <w:pStyle w:val="FootnoteText"/>
        <w:jc w:val="both"/>
        <w:rPr>
          <w:rFonts w:ascii="Times New Roman" w:hAnsi="Times New Roman" w:cs="Times New Roman"/>
          <w:lang w:val="en-US"/>
        </w:rPr>
      </w:pPr>
      <w:r w:rsidRPr="004F325F">
        <w:rPr>
          <w:rStyle w:val="FootnoteReference"/>
          <w:rFonts w:ascii="Times New Roman" w:hAnsi="Times New Roman" w:cs="Times New Roman"/>
        </w:rPr>
        <w:footnoteRef/>
      </w:r>
      <w:r w:rsidRPr="004F325F">
        <w:rPr>
          <w:rFonts w:ascii="Times New Roman" w:hAnsi="Times New Roman" w:cs="Times New Roman"/>
        </w:rPr>
        <w:t xml:space="preserve"> When analysing Lithuanian case law, it could be noted that international situations occur more often between citizens of the Republic of Lithuania residing outside Lithuania than between persons of different nationalities residing in different states.</w:t>
      </w:r>
    </w:p>
  </w:footnote>
  <w:footnote w:id="37">
    <w:p w14:paraId="5B6EC697" w14:textId="07F899FD" w:rsidR="00CD1EBC" w:rsidRPr="004F325F" w:rsidRDefault="00CD1EBC" w:rsidP="004F325F">
      <w:pPr>
        <w:pStyle w:val="FootnoteText"/>
        <w:jc w:val="both"/>
        <w:rPr>
          <w:rFonts w:ascii="Times New Roman" w:hAnsi="Times New Roman" w:cs="Times New Roman"/>
          <w:lang w:val="lt-LT"/>
        </w:rPr>
      </w:pPr>
      <w:r w:rsidRPr="004F325F">
        <w:rPr>
          <w:rStyle w:val="FootnoteReference"/>
          <w:rFonts w:ascii="Times New Roman" w:hAnsi="Times New Roman" w:cs="Times New Roman"/>
        </w:rPr>
        <w:footnoteRef/>
      </w:r>
      <w:r w:rsidRPr="004F325F">
        <w:rPr>
          <w:rFonts w:ascii="Times New Roman" w:hAnsi="Times New Roman" w:cs="Times New Roman"/>
        </w:rPr>
        <w:t xml:space="preserve"> Supreme Court of Lithuania </w:t>
      </w:r>
      <w:r w:rsidR="0013761B" w:rsidRPr="004F325F">
        <w:rPr>
          <w:rFonts w:ascii="Times New Roman" w:hAnsi="Times New Roman" w:cs="Times New Roman"/>
          <w:lang w:val="en-US"/>
        </w:rPr>
        <w:t>(</w:t>
      </w:r>
      <w:r w:rsidR="0013761B" w:rsidRPr="004F325F">
        <w:rPr>
          <w:rFonts w:ascii="Times New Roman" w:hAnsi="Times New Roman" w:cs="Times New Roman"/>
          <w:lang w:val="en-US"/>
        </w:rPr>
        <w:t>Lietuvos Auk</w:t>
      </w:r>
      <w:r w:rsidR="0013761B" w:rsidRPr="004F325F">
        <w:rPr>
          <w:rFonts w:ascii="Times New Roman" w:hAnsi="Times New Roman" w:cs="Times New Roman"/>
          <w:lang w:val="lt-LT"/>
        </w:rPr>
        <w:t>ščiausiasis Teismas)</w:t>
      </w:r>
      <w:r w:rsidR="0013761B">
        <w:rPr>
          <w:rFonts w:ascii="Times New Roman" w:hAnsi="Times New Roman" w:cs="Times New Roman"/>
          <w:lang w:val="lt-LT"/>
        </w:rPr>
        <w:t xml:space="preserve">, </w:t>
      </w:r>
      <w:r w:rsidRPr="004F325F">
        <w:rPr>
          <w:rFonts w:ascii="Times New Roman" w:hAnsi="Times New Roman" w:cs="Times New Roman"/>
          <w:lang w:val="en-US"/>
        </w:rPr>
        <w:t>8</w:t>
      </w:r>
      <w:r w:rsidRPr="004F325F">
        <w:rPr>
          <w:rFonts w:ascii="Times New Roman" w:hAnsi="Times New Roman" w:cs="Times New Roman"/>
        </w:rPr>
        <w:t xml:space="preserve"> September 2022</w:t>
      </w:r>
      <w:r w:rsidR="0013761B">
        <w:rPr>
          <w:rFonts w:ascii="Times New Roman" w:hAnsi="Times New Roman" w:cs="Times New Roman"/>
        </w:rPr>
        <w:t>,</w:t>
      </w:r>
      <w:r w:rsidRPr="004F325F">
        <w:rPr>
          <w:rFonts w:ascii="Times New Roman" w:hAnsi="Times New Roman" w:cs="Times New Roman"/>
        </w:rPr>
        <w:t xml:space="preserve"> </w:t>
      </w:r>
      <w:r w:rsidR="0013761B">
        <w:rPr>
          <w:rFonts w:ascii="Times New Roman" w:hAnsi="Times New Roman" w:cs="Times New Roman"/>
        </w:rPr>
        <w:t>c</w:t>
      </w:r>
      <w:r w:rsidRPr="004F325F">
        <w:rPr>
          <w:rFonts w:ascii="Times New Roman" w:hAnsi="Times New Roman" w:cs="Times New Roman"/>
        </w:rPr>
        <w:t>ivil case No e3K-3-289-421/2022.</w:t>
      </w:r>
    </w:p>
  </w:footnote>
  <w:footnote w:id="38">
    <w:p w14:paraId="77FDE30B" w14:textId="1EF8E7F6" w:rsidR="00CD1EBC" w:rsidRPr="004F325F" w:rsidRDefault="00CD1EBC" w:rsidP="004F325F">
      <w:pPr>
        <w:pStyle w:val="FootnoteText"/>
        <w:jc w:val="both"/>
        <w:rPr>
          <w:rFonts w:ascii="Times New Roman" w:hAnsi="Times New Roman" w:cs="Times New Roman"/>
          <w:lang w:val="en-US"/>
        </w:rPr>
      </w:pPr>
      <w:r w:rsidRPr="004F325F">
        <w:rPr>
          <w:rStyle w:val="FootnoteReference"/>
          <w:rFonts w:ascii="Times New Roman" w:hAnsi="Times New Roman" w:cs="Times New Roman"/>
        </w:rPr>
        <w:footnoteRef/>
      </w:r>
      <w:r w:rsidRPr="004F325F">
        <w:rPr>
          <w:rFonts w:ascii="Times New Roman" w:hAnsi="Times New Roman" w:cs="Times New Roman"/>
        </w:rPr>
        <w:t xml:space="preserve"> Supreme Court of Lithuania </w:t>
      </w:r>
      <w:r w:rsidR="0013761B" w:rsidRPr="004F325F">
        <w:rPr>
          <w:rFonts w:ascii="Times New Roman" w:hAnsi="Times New Roman" w:cs="Times New Roman"/>
          <w:lang w:val="en-US"/>
        </w:rPr>
        <w:t>(</w:t>
      </w:r>
      <w:r w:rsidR="0013761B" w:rsidRPr="004F325F">
        <w:rPr>
          <w:rFonts w:ascii="Times New Roman" w:hAnsi="Times New Roman" w:cs="Times New Roman"/>
          <w:lang w:val="en-US"/>
        </w:rPr>
        <w:t>Lietuvos Auk</w:t>
      </w:r>
      <w:r w:rsidR="0013761B" w:rsidRPr="004F325F">
        <w:rPr>
          <w:rFonts w:ascii="Times New Roman" w:hAnsi="Times New Roman" w:cs="Times New Roman"/>
          <w:lang w:val="lt-LT"/>
        </w:rPr>
        <w:t>ščiausiasis Teismas)</w:t>
      </w:r>
      <w:r w:rsidR="0013761B">
        <w:rPr>
          <w:rFonts w:ascii="Times New Roman" w:hAnsi="Times New Roman" w:cs="Times New Roman"/>
          <w:lang w:val="lt-LT"/>
        </w:rPr>
        <w:t xml:space="preserve">, </w:t>
      </w:r>
      <w:r w:rsidRPr="004F325F">
        <w:rPr>
          <w:rFonts w:ascii="Times New Roman" w:hAnsi="Times New Roman" w:cs="Times New Roman"/>
          <w:lang w:val="en-US"/>
        </w:rPr>
        <w:t>2</w:t>
      </w:r>
      <w:r w:rsidRPr="004F325F">
        <w:rPr>
          <w:rFonts w:ascii="Times New Roman" w:hAnsi="Times New Roman" w:cs="Times New Roman"/>
        </w:rPr>
        <w:t xml:space="preserve"> July 2020</w:t>
      </w:r>
      <w:r w:rsidR="0013761B">
        <w:rPr>
          <w:rFonts w:ascii="Times New Roman" w:hAnsi="Times New Roman" w:cs="Times New Roman"/>
        </w:rPr>
        <w:t>,</w:t>
      </w:r>
      <w:r w:rsidRPr="004F325F">
        <w:rPr>
          <w:rFonts w:ascii="Times New Roman" w:hAnsi="Times New Roman" w:cs="Times New Roman"/>
        </w:rPr>
        <w:t xml:space="preserve"> civil case No e3K-3-184-969/2020.</w:t>
      </w:r>
    </w:p>
  </w:footnote>
  <w:footnote w:id="39">
    <w:p w14:paraId="3E14F2C5" w14:textId="77777777" w:rsidR="00B17A40" w:rsidRPr="004F325F" w:rsidRDefault="00B17A40" w:rsidP="00B17A40">
      <w:pPr>
        <w:pStyle w:val="FootnoteText"/>
        <w:jc w:val="both"/>
        <w:rPr>
          <w:rFonts w:ascii="Times New Roman" w:hAnsi="Times New Roman" w:cs="Times New Roman"/>
          <w:lang w:val="lt-LT"/>
        </w:rPr>
      </w:pPr>
      <w:r w:rsidRPr="004F325F">
        <w:rPr>
          <w:rStyle w:val="FootnoteReference"/>
          <w:rFonts w:ascii="Times New Roman" w:hAnsi="Times New Roman" w:cs="Times New Roman"/>
        </w:rPr>
        <w:footnoteRef/>
      </w:r>
      <w:r w:rsidRPr="004F325F">
        <w:rPr>
          <w:rFonts w:ascii="Times New Roman" w:hAnsi="Times New Roman" w:cs="Times New Roman"/>
        </w:rPr>
        <w:t xml:space="preserve"> Supreme Court of Lithuania </w:t>
      </w:r>
      <w:r w:rsidRPr="004F325F">
        <w:rPr>
          <w:rFonts w:ascii="Times New Roman" w:hAnsi="Times New Roman" w:cs="Times New Roman"/>
          <w:lang w:val="en-US"/>
        </w:rPr>
        <w:t>(</w:t>
      </w:r>
      <w:r w:rsidRPr="004F325F">
        <w:rPr>
          <w:rFonts w:ascii="Times New Roman" w:hAnsi="Times New Roman" w:cs="Times New Roman"/>
          <w:lang w:val="en-US"/>
        </w:rPr>
        <w:t>Lietuvos Auk</w:t>
      </w:r>
      <w:r w:rsidRPr="004F325F">
        <w:rPr>
          <w:rFonts w:ascii="Times New Roman" w:hAnsi="Times New Roman" w:cs="Times New Roman"/>
          <w:lang w:val="lt-LT"/>
        </w:rPr>
        <w:t>ščiausiasis Teismas)</w:t>
      </w:r>
      <w:r>
        <w:rPr>
          <w:rFonts w:ascii="Times New Roman" w:hAnsi="Times New Roman" w:cs="Times New Roman"/>
          <w:lang w:val="lt-LT"/>
        </w:rPr>
        <w:t xml:space="preserve">, </w:t>
      </w:r>
      <w:r w:rsidRPr="004F325F">
        <w:rPr>
          <w:rFonts w:ascii="Times New Roman" w:hAnsi="Times New Roman" w:cs="Times New Roman"/>
          <w:lang w:val="en-US"/>
        </w:rPr>
        <w:t>8</w:t>
      </w:r>
      <w:r w:rsidRPr="004F325F">
        <w:rPr>
          <w:rFonts w:ascii="Times New Roman" w:hAnsi="Times New Roman" w:cs="Times New Roman"/>
        </w:rPr>
        <w:t xml:space="preserve"> September 2022</w:t>
      </w:r>
      <w:r>
        <w:rPr>
          <w:rFonts w:ascii="Times New Roman" w:hAnsi="Times New Roman" w:cs="Times New Roman"/>
        </w:rPr>
        <w:t>,</w:t>
      </w:r>
      <w:r w:rsidRPr="004F325F">
        <w:rPr>
          <w:rFonts w:ascii="Times New Roman" w:hAnsi="Times New Roman" w:cs="Times New Roman"/>
        </w:rPr>
        <w:t xml:space="preserve"> </w:t>
      </w:r>
      <w:r>
        <w:rPr>
          <w:rFonts w:ascii="Times New Roman" w:hAnsi="Times New Roman" w:cs="Times New Roman"/>
        </w:rPr>
        <w:t>c</w:t>
      </w:r>
      <w:r w:rsidRPr="004F325F">
        <w:rPr>
          <w:rFonts w:ascii="Times New Roman" w:hAnsi="Times New Roman" w:cs="Times New Roman"/>
        </w:rPr>
        <w:t>ivil case No e3K-3-289-421/2022.</w:t>
      </w:r>
    </w:p>
  </w:footnote>
  <w:footnote w:id="40">
    <w:p w14:paraId="043FD76C" w14:textId="77777777" w:rsidR="00B17A40" w:rsidRPr="004F325F" w:rsidRDefault="00B17A40" w:rsidP="00B17A40">
      <w:pPr>
        <w:pStyle w:val="FootnoteText"/>
        <w:jc w:val="both"/>
        <w:rPr>
          <w:rFonts w:ascii="Times New Roman" w:hAnsi="Times New Roman" w:cs="Times New Roman"/>
          <w:lang w:val="en-US"/>
        </w:rPr>
      </w:pPr>
      <w:r w:rsidRPr="004F325F">
        <w:rPr>
          <w:rStyle w:val="FootnoteReference"/>
          <w:rFonts w:ascii="Times New Roman" w:hAnsi="Times New Roman" w:cs="Times New Roman"/>
        </w:rPr>
        <w:footnoteRef/>
      </w:r>
      <w:r w:rsidRPr="004F325F">
        <w:rPr>
          <w:rFonts w:ascii="Times New Roman" w:hAnsi="Times New Roman" w:cs="Times New Roman"/>
        </w:rPr>
        <w:t xml:space="preserve"> Supreme Court of Lithuania </w:t>
      </w:r>
      <w:r w:rsidRPr="004F325F">
        <w:rPr>
          <w:rFonts w:ascii="Times New Roman" w:hAnsi="Times New Roman" w:cs="Times New Roman"/>
          <w:lang w:val="en-US"/>
        </w:rPr>
        <w:t>(</w:t>
      </w:r>
      <w:r w:rsidRPr="004F325F">
        <w:rPr>
          <w:rFonts w:ascii="Times New Roman" w:hAnsi="Times New Roman" w:cs="Times New Roman"/>
          <w:lang w:val="en-US"/>
        </w:rPr>
        <w:t>Lietuvos Auk</w:t>
      </w:r>
      <w:r w:rsidRPr="004F325F">
        <w:rPr>
          <w:rFonts w:ascii="Times New Roman" w:hAnsi="Times New Roman" w:cs="Times New Roman"/>
          <w:lang w:val="lt-LT"/>
        </w:rPr>
        <w:t>ščiausiasis Teismas)</w:t>
      </w:r>
      <w:r>
        <w:rPr>
          <w:rFonts w:ascii="Times New Roman" w:hAnsi="Times New Roman" w:cs="Times New Roman"/>
          <w:lang w:val="lt-LT"/>
        </w:rPr>
        <w:t xml:space="preserve">, </w:t>
      </w:r>
      <w:r w:rsidRPr="004F325F">
        <w:rPr>
          <w:rFonts w:ascii="Times New Roman" w:hAnsi="Times New Roman" w:cs="Times New Roman"/>
          <w:lang w:val="en-US"/>
        </w:rPr>
        <w:t>2</w:t>
      </w:r>
      <w:r w:rsidRPr="004F325F">
        <w:rPr>
          <w:rFonts w:ascii="Times New Roman" w:hAnsi="Times New Roman" w:cs="Times New Roman"/>
        </w:rPr>
        <w:t xml:space="preserve"> July 2020</w:t>
      </w:r>
      <w:r>
        <w:rPr>
          <w:rFonts w:ascii="Times New Roman" w:hAnsi="Times New Roman" w:cs="Times New Roman"/>
        </w:rPr>
        <w:t>,</w:t>
      </w:r>
      <w:r w:rsidRPr="004F325F">
        <w:rPr>
          <w:rFonts w:ascii="Times New Roman" w:hAnsi="Times New Roman" w:cs="Times New Roman"/>
        </w:rPr>
        <w:t xml:space="preserve"> civil case No e3K-3-184-969/2020.</w:t>
      </w:r>
    </w:p>
  </w:footnote>
  <w:footnote w:id="41">
    <w:p w14:paraId="1A1A8D50" w14:textId="0BC98935" w:rsidR="002E3532" w:rsidRPr="004F325F" w:rsidRDefault="002E3532" w:rsidP="004F325F">
      <w:pPr>
        <w:pStyle w:val="FootnoteText"/>
        <w:jc w:val="both"/>
        <w:rPr>
          <w:rFonts w:ascii="Times New Roman" w:hAnsi="Times New Roman" w:cs="Times New Roman"/>
        </w:rPr>
      </w:pPr>
      <w:r w:rsidRPr="004F325F">
        <w:rPr>
          <w:rStyle w:val="FootnoteReference"/>
          <w:rFonts w:ascii="Times New Roman" w:hAnsi="Times New Roman" w:cs="Times New Roman"/>
        </w:rPr>
        <w:footnoteRef/>
      </w:r>
      <w:r w:rsidRPr="004F325F">
        <w:rPr>
          <w:rFonts w:ascii="Times New Roman" w:hAnsi="Times New Roman" w:cs="Times New Roman"/>
        </w:rPr>
        <w:t xml:space="preserve"> Supreme Court of Lithuania, “Overview of the application of international and European Union law to the question of jurisdiction in family proceedings” (</w:t>
      </w:r>
      <w:r w:rsidRPr="004F325F">
        <w:rPr>
          <w:rFonts w:ascii="Times New Roman" w:hAnsi="Times New Roman" w:cs="Times New Roman"/>
          <w:i/>
        </w:rPr>
        <w:t>Tarptautinės ir Europos Sąjungos teisės taikymo sprendžiant jurisdikcijos nustatymo klausimą šeimos bylose apžvalga)</w:t>
      </w:r>
      <w:r w:rsidRPr="004F325F">
        <w:rPr>
          <w:rFonts w:ascii="Times New Roman" w:hAnsi="Times New Roman" w:cs="Times New Roman"/>
        </w:rPr>
        <w:t xml:space="preserve">. </w:t>
      </w:r>
      <w:r w:rsidRPr="004F325F">
        <w:rPr>
          <w:rFonts w:ascii="Times New Roman" w:hAnsi="Times New Roman" w:cs="Times New Roman"/>
          <w:bCs/>
          <w:color w:val="232323"/>
        </w:rPr>
        <w:t xml:space="preserve">„Teismų praktika“ (43), 2016. </w:t>
      </w:r>
    </w:p>
  </w:footnote>
  <w:footnote w:id="42">
    <w:p w14:paraId="3210E2DE" w14:textId="77777777" w:rsidR="00AD201F" w:rsidRPr="004F325F" w:rsidRDefault="00AD201F" w:rsidP="00AD201F">
      <w:pPr>
        <w:pStyle w:val="FootnoteText"/>
        <w:jc w:val="both"/>
        <w:rPr>
          <w:rFonts w:ascii="Times New Roman" w:hAnsi="Times New Roman" w:cs="Times New Roman"/>
        </w:rPr>
      </w:pPr>
      <w:r w:rsidRPr="004F325F">
        <w:rPr>
          <w:rStyle w:val="FootnoteReference"/>
          <w:rFonts w:ascii="Times New Roman" w:hAnsi="Times New Roman" w:cs="Times New Roman"/>
        </w:rPr>
        <w:footnoteRef/>
      </w:r>
      <w:r w:rsidRPr="004F325F">
        <w:rPr>
          <w:rFonts w:ascii="Times New Roman" w:hAnsi="Times New Roman" w:cs="Times New Roman"/>
        </w:rPr>
        <w:t xml:space="preserve"> Supreme Court of Lithuania, “Overview of the application of international and European Union law to the question of jurisdiction in family proceedings” (</w:t>
      </w:r>
      <w:r w:rsidRPr="004F325F">
        <w:rPr>
          <w:rFonts w:ascii="Times New Roman" w:hAnsi="Times New Roman" w:cs="Times New Roman"/>
          <w:i/>
        </w:rPr>
        <w:t>Tarptautinės ir Europos Sąjungos teisės taikymo sprendžiant jurisdikcijos nustatymo klausimą šeimos bylose apžvalga)</w:t>
      </w:r>
      <w:r w:rsidRPr="004F325F">
        <w:rPr>
          <w:rFonts w:ascii="Times New Roman" w:hAnsi="Times New Roman" w:cs="Times New Roman"/>
        </w:rPr>
        <w:t xml:space="preserve">. </w:t>
      </w:r>
      <w:r w:rsidRPr="004F325F">
        <w:rPr>
          <w:rFonts w:ascii="Times New Roman" w:hAnsi="Times New Roman" w:cs="Times New Roman"/>
          <w:bCs/>
          <w:color w:val="232323"/>
        </w:rPr>
        <w:t xml:space="preserve">„Teismų praktika“ (43), 2016. </w:t>
      </w:r>
    </w:p>
  </w:footnote>
  <w:footnote w:id="43">
    <w:p w14:paraId="0F44FF70" w14:textId="77777777" w:rsidR="00AD201F" w:rsidRPr="004F325F" w:rsidRDefault="00AD201F" w:rsidP="00AD201F">
      <w:pPr>
        <w:pStyle w:val="FootnoteText"/>
        <w:jc w:val="both"/>
        <w:rPr>
          <w:rFonts w:ascii="Times New Roman" w:hAnsi="Times New Roman" w:cs="Times New Roman"/>
        </w:rPr>
      </w:pPr>
      <w:r w:rsidRPr="004F325F">
        <w:rPr>
          <w:rStyle w:val="FootnoteReference"/>
          <w:rFonts w:ascii="Times New Roman" w:hAnsi="Times New Roman" w:cs="Times New Roman"/>
        </w:rPr>
        <w:footnoteRef/>
      </w:r>
      <w:r w:rsidRPr="004F325F">
        <w:rPr>
          <w:rFonts w:ascii="Times New Roman" w:hAnsi="Times New Roman" w:cs="Times New Roman"/>
        </w:rPr>
        <w:t xml:space="preserve"> Supreme Court of Lithuania, “Overview of the application of international and European Union law to the question of jurisdiction in family proceedings” (</w:t>
      </w:r>
      <w:r w:rsidRPr="004F325F">
        <w:rPr>
          <w:rFonts w:ascii="Times New Roman" w:hAnsi="Times New Roman" w:cs="Times New Roman"/>
          <w:i/>
        </w:rPr>
        <w:t>Tarptautinės ir Europos Sąjungos teisės taikymo sprendžiant jurisdikcijos nustatymo klausimą šeimos bylose apžvalga)</w:t>
      </w:r>
      <w:r w:rsidRPr="004F325F">
        <w:rPr>
          <w:rFonts w:ascii="Times New Roman" w:hAnsi="Times New Roman" w:cs="Times New Roman"/>
        </w:rPr>
        <w:t xml:space="preserve">. </w:t>
      </w:r>
      <w:r w:rsidRPr="004F325F">
        <w:rPr>
          <w:rFonts w:ascii="Times New Roman" w:hAnsi="Times New Roman" w:cs="Times New Roman"/>
          <w:bCs/>
          <w:color w:val="232323"/>
        </w:rPr>
        <w:t xml:space="preserve">„Teismų praktika“ (43), 2016. </w:t>
      </w:r>
    </w:p>
  </w:footnote>
  <w:footnote w:id="44">
    <w:p w14:paraId="1739E0BB" w14:textId="47A2660B" w:rsidR="0087575C" w:rsidRPr="004F325F" w:rsidRDefault="0087575C" w:rsidP="004F325F">
      <w:pPr>
        <w:pStyle w:val="FootnoteText"/>
        <w:jc w:val="both"/>
        <w:rPr>
          <w:rFonts w:ascii="Times New Roman" w:hAnsi="Times New Roman" w:cs="Times New Roman"/>
          <w:highlight w:val="yellow"/>
          <w:lang w:val="lt-LT"/>
        </w:rPr>
      </w:pPr>
      <w:r w:rsidRPr="004F325F">
        <w:rPr>
          <w:rStyle w:val="FootnoteReference"/>
          <w:rFonts w:ascii="Times New Roman" w:hAnsi="Times New Roman" w:cs="Times New Roman"/>
        </w:rPr>
        <w:footnoteRef/>
      </w:r>
      <w:r w:rsidRPr="004F325F">
        <w:rPr>
          <w:rFonts w:ascii="Times New Roman" w:hAnsi="Times New Roman" w:cs="Times New Roman"/>
        </w:rPr>
        <w:t xml:space="preserve"> E.g. </w:t>
      </w:r>
      <w:r w:rsidR="00120AE0" w:rsidRPr="004F325F">
        <w:rPr>
          <w:rFonts w:ascii="Times New Roman" w:hAnsi="Times New Roman" w:cs="Times New Roman"/>
        </w:rPr>
        <w:t>Panevezys regional court (</w:t>
      </w:r>
      <w:r w:rsidRPr="004F325F">
        <w:rPr>
          <w:rFonts w:ascii="Times New Roman" w:hAnsi="Times New Roman" w:cs="Times New Roman"/>
        </w:rPr>
        <w:t>Panevėžio apygardos teism</w:t>
      </w:r>
      <w:r w:rsidR="00120AE0" w:rsidRPr="004F325F">
        <w:rPr>
          <w:rFonts w:ascii="Times New Roman" w:hAnsi="Times New Roman" w:cs="Times New Roman"/>
        </w:rPr>
        <w:t>as)</w:t>
      </w:r>
      <w:r w:rsidRPr="004F325F">
        <w:rPr>
          <w:rFonts w:ascii="Times New Roman" w:hAnsi="Times New Roman" w:cs="Times New Roman"/>
        </w:rPr>
        <w:t xml:space="preserve"> </w:t>
      </w:r>
      <w:r w:rsidR="00120AE0" w:rsidRPr="004F325F">
        <w:rPr>
          <w:rFonts w:ascii="Times New Roman" w:hAnsi="Times New Roman" w:cs="Times New Roman"/>
        </w:rPr>
        <w:t>14 June</w:t>
      </w:r>
      <w:r w:rsidRPr="004F325F">
        <w:rPr>
          <w:rFonts w:ascii="Times New Roman" w:hAnsi="Times New Roman" w:cs="Times New Roman"/>
        </w:rPr>
        <w:t xml:space="preserve"> 2016</w:t>
      </w:r>
      <w:r w:rsidR="00120AE0" w:rsidRPr="004F325F">
        <w:rPr>
          <w:rFonts w:ascii="Times New Roman" w:hAnsi="Times New Roman" w:cs="Times New Roman"/>
        </w:rPr>
        <w:t xml:space="preserve">, </w:t>
      </w:r>
      <w:r w:rsidRPr="004F325F">
        <w:rPr>
          <w:rFonts w:ascii="Times New Roman" w:hAnsi="Times New Roman" w:cs="Times New Roman"/>
        </w:rPr>
        <w:t>N</w:t>
      </w:r>
      <w:r w:rsidR="00120AE0" w:rsidRPr="004F325F">
        <w:rPr>
          <w:rFonts w:ascii="Times New Roman" w:hAnsi="Times New Roman" w:cs="Times New Roman"/>
        </w:rPr>
        <w:t>o</w:t>
      </w:r>
      <w:r w:rsidRPr="004F325F">
        <w:rPr>
          <w:rFonts w:ascii="Times New Roman" w:hAnsi="Times New Roman" w:cs="Times New Roman"/>
        </w:rPr>
        <w:t>. e2A-439-227/2016</w:t>
      </w:r>
    </w:p>
  </w:footnote>
  <w:footnote w:id="45">
    <w:p w14:paraId="396BCDDF" w14:textId="2CAFE48F" w:rsidR="0087575C" w:rsidRPr="004F325F" w:rsidRDefault="0087575C" w:rsidP="004F325F">
      <w:pPr>
        <w:pStyle w:val="FootnoteText"/>
        <w:jc w:val="both"/>
        <w:rPr>
          <w:rFonts w:ascii="Times New Roman" w:hAnsi="Times New Roman" w:cs="Times New Roman"/>
          <w:lang w:val="en-US"/>
        </w:rPr>
      </w:pPr>
      <w:r w:rsidRPr="004F325F">
        <w:rPr>
          <w:rStyle w:val="FootnoteReference"/>
          <w:rFonts w:ascii="Times New Roman" w:hAnsi="Times New Roman" w:cs="Times New Roman"/>
        </w:rPr>
        <w:footnoteRef/>
      </w:r>
      <w:r w:rsidRPr="004F325F">
        <w:rPr>
          <w:rFonts w:ascii="Times New Roman" w:hAnsi="Times New Roman" w:cs="Times New Roman"/>
        </w:rPr>
        <w:t xml:space="preserve"> </w:t>
      </w:r>
      <w:r w:rsidR="00E83538" w:rsidRPr="004F325F">
        <w:rPr>
          <w:rFonts w:ascii="Times New Roman" w:hAnsi="Times New Roman" w:cs="Times New Roman"/>
        </w:rPr>
        <w:t>Vilnius regional court (</w:t>
      </w:r>
      <w:r w:rsidRPr="004F325F">
        <w:rPr>
          <w:rFonts w:ascii="Times New Roman" w:hAnsi="Times New Roman" w:cs="Times New Roman"/>
        </w:rPr>
        <w:t xml:space="preserve">Vilniaus </w:t>
      </w:r>
      <w:r w:rsidRPr="004F325F">
        <w:rPr>
          <w:rFonts w:ascii="Times New Roman" w:hAnsi="Times New Roman" w:cs="Times New Roman"/>
        </w:rPr>
        <w:t>apygardos teism</w:t>
      </w:r>
      <w:r w:rsidR="00E83538" w:rsidRPr="004F325F">
        <w:rPr>
          <w:rFonts w:ascii="Times New Roman" w:hAnsi="Times New Roman" w:cs="Times New Roman"/>
        </w:rPr>
        <w:t>as)</w:t>
      </w:r>
      <w:r w:rsidRPr="004F325F">
        <w:rPr>
          <w:rFonts w:ascii="Times New Roman" w:hAnsi="Times New Roman" w:cs="Times New Roman"/>
        </w:rPr>
        <w:t xml:space="preserve"> </w:t>
      </w:r>
      <w:r w:rsidR="00E83538" w:rsidRPr="004F325F">
        <w:rPr>
          <w:rFonts w:ascii="Times New Roman" w:hAnsi="Times New Roman" w:cs="Times New Roman"/>
        </w:rPr>
        <w:t>12 May</w:t>
      </w:r>
      <w:r w:rsidRPr="004F325F">
        <w:rPr>
          <w:rFonts w:ascii="Times New Roman" w:hAnsi="Times New Roman" w:cs="Times New Roman"/>
        </w:rPr>
        <w:t xml:space="preserve"> 2022</w:t>
      </w:r>
      <w:r w:rsidR="00E83538" w:rsidRPr="004F325F">
        <w:rPr>
          <w:rFonts w:ascii="Times New Roman" w:hAnsi="Times New Roman" w:cs="Times New Roman"/>
        </w:rPr>
        <w:t xml:space="preserve">, </w:t>
      </w:r>
      <w:r w:rsidRPr="004F325F">
        <w:rPr>
          <w:rFonts w:ascii="Times New Roman" w:hAnsi="Times New Roman" w:cs="Times New Roman"/>
        </w:rPr>
        <w:t>N</w:t>
      </w:r>
      <w:r w:rsidR="00E83538" w:rsidRPr="004F325F">
        <w:rPr>
          <w:rFonts w:ascii="Times New Roman" w:hAnsi="Times New Roman" w:cs="Times New Roman"/>
        </w:rPr>
        <w:t>o</w:t>
      </w:r>
      <w:r w:rsidRPr="004F325F">
        <w:rPr>
          <w:rFonts w:ascii="Times New Roman" w:hAnsi="Times New Roman" w:cs="Times New Roman"/>
        </w:rPr>
        <w:t>. e2A-724-562/2022</w:t>
      </w:r>
    </w:p>
  </w:footnote>
  <w:footnote w:id="46">
    <w:p w14:paraId="6DB1A342" w14:textId="4CA307C9" w:rsidR="00AB094A" w:rsidRPr="004F325F" w:rsidRDefault="00AB094A" w:rsidP="004F325F">
      <w:pPr>
        <w:pStyle w:val="FootnoteText"/>
        <w:jc w:val="both"/>
        <w:rPr>
          <w:rFonts w:ascii="Times New Roman" w:hAnsi="Times New Roman" w:cs="Times New Roman"/>
          <w:lang w:val="en-US"/>
        </w:rPr>
      </w:pPr>
      <w:r w:rsidRPr="004F325F">
        <w:rPr>
          <w:rStyle w:val="FootnoteReference"/>
          <w:rFonts w:ascii="Times New Roman" w:hAnsi="Times New Roman" w:cs="Times New Roman"/>
        </w:rPr>
        <w:footnoteRef/>
      </w:r>
      <w:r w:rsidRPr="004F325F">
        <w:rPr>
          <w:rFonts w:ascii="Times New Roman" w:hAnsi="Times New Roman" w:cs="Times New Roman"/>
        </w:rPr>
        <w:t xml:space="preserve"> </w:t>
      </w:r>
      <w:r w:rsidR="00E83538" w:rsidRPr="004F325F">
        <w:rPr>
          <w:rFonts w:ascii="Times New Roman" w:hAnsi="Times New Roman" w:cs="Times New Roman"/>
        </w:rPr>
        <w:t xml:space="preserve">Vilnius regional court (Vilniaus </w:t>
      </w:r>
      <w:r w:rsidR="00E83538" w:rsidRPr="004F325F">
        <w:rPr>
          <w:rFonts w:ascii="Times New Roman" w:hAnsi="Times New Roman" w:cs="Times New Roman"/>
        </w:rPr>
        <w:t xml:space="preserve">apygardos teismas) 14 January </w:t>
      </w:r>
      <w:r w:rsidRPr="004F325F">
        <w:rPr>
          <w:rFonts w:ascii="Times New Roman" w:hAnsi="Times New Roman" w:cs="Times New Roman"/>
        </w:rPr>
        <w:t>2020</w:t>
      </w:r>
      <w:r w:rsidR="00E83538" w:rsidRPr="004F325F">
        <w:rPr>
          <w:rFonts w:ascii="Times New Roman" w:hAnsi="Times New Roman" w:cs="Times New Roman"/>
        </w:rPr>
        <w:t xml:space="preserve">, </w:t>
      </w:r>
      <w:r w:rsidRPr="004F325F">
        <w:rPr>
          <w:rFonts w:ascii="Times New Roman" w:hAnsi="Times New Roman" w:cs="Times New Roman"/>
        </w:rPr>
        <w:t>N</w:t>
      </w:r>
      <w:r w:rsidR="00E83538" w:rsidRPr="004F325F">
        <w:rPr>
          <w:rFonts w:ascii="Times New Roman" w:hAnsi="Times New Roman" w:cs="Times New Roman"/>
        </w:rPr>
        <w:t>o</w:t>
      </w:r>
      <w:r w:rsidRPr="004F325F">
        <w:rPr>
          <w:rFonts w:ascii="Times New Roman" w:hAnsi="Times New Roman" w:cs="Times New Roman"/>
        </w:rPr>
        <w:t>. 2A-93-803/2020</w:t>
      </w:r>
    </w:p>
  </w:footnote>
  <w:footnote w:id="47">
    <w:p w14:paraId="23D26CCB" w14:textId="4454ACCE" w:rsidR="000B722C" w:rsidRPr="004F325F" w:rsidRDefault="000B722C" w:rsidP="004F325F">
      <w:pPr>
        <w:pStyle w:val="FootnoteText"/>
        <w:jc w:val="both"/>
        <w:rPr>
          <w:rFonts w:ascii="Times New Roman" w:hAnsi="Times New Roman" w:cs="Times New Roman"/>
          <w:lang w:val="lt-LT"/>
        </w:rPr>
      </w:pPr>
      <w:r w:rsidRPr="004F325F">
        <w:rPr>
          <w:rStyle w:val="FootnoteReference"/>
          <w:rFonts w:ascii="Times New Roman" w:hAnsi="Times New Roman" w:cs="Times New Roman"/>
        </w:rPr>
        <w:footnoteRef/>
      </w:r>
      <w:r w:rsidRPr="004F325F">
        <w:rPr>
          <w:rFonts w:ascii="Times New Roman" w:hAnsi="Times New Roman" w:cs="Times New Roman"/>
        </w:rPr>
        <w:t xml:space="preserve"> https://e-justice.europa.eu/content_european_judicial_network_in_civil_and_commercial_matters-21-en.do</w:t>
      </w:r>
    </w:p>
  </w:footnote>
  <w:footnote w:id="48">
    <w:p w14:paraId="0FF2B69B" w14:textId="5F19BFE3" w:rsidR="009304A3" w:rsidRPr="004F325F" w:rsidRDefault="009304A3" w:rsidP="004F325F">
      <w:pPr>
        <w:pStyle w:val="FootnoteText"/>
        <w:jc w:val="both"/>
        <w:rPr>
          <w:rFonts w:ascii="Times New Roman" w:hAnsi="Times New Roman" w:cs="Times New Roman"/>
          <w:lang w:val="lt-LT"/>
        </w:rPr>
      </w:pPr>
      <w:r w:rsidRPr="004F325F">
        <w:rPr>
          <w:rStyle w:val="FootnoteReference"/>
          <w:rFonts w:ascii="Times New Roman" w:hAnsi="Times New Roman" w:cs="Times New Roman"/>
        </w:rPr>
        <w:footnoteRef/>
      </w:r>
      <w:r w:rsidRPr="004F325F">
        <w:rPr>
          <w:rFonts w:ascii="Times New Roman" w:hAnsi="Times New Roman" w:cs="Times New Roman"/>
        </w:rPr>
        <w:t xml:space="preserve"> https://e-justice.europa.eu/321/EN/european_judicial_atlas_in_civil_matters?init=true</w:t>
      </w:r>
    </w:p>
  </w:footnote>
  <w:footnote w:id="49">
    <w:p w14:paraId="5ED5B444" w14:textId="7D9E4C84" w:rsidR="009304A3" w:rsidRPr="004F325F" w:rsidRDefault="009304A3" w:rsidP="004F325F">
      <w:pPr>
        <w:pStyle w:val="FootnoteText"/>
        <w:jc w:val="both"/>
        <w:rPr>
          <w:rFonts w:ascii="Times New Roman" w:hAnsi="Times New Roman" w:cs="Times New Roman"/>
          <w:lang w:val="lt-LT"/>
        </w:rPr>
      </w:pPr>
      <w:r w:rsidRPr="004F325F">
        <w:rPr>
          <w:rStyle w:val="FootnoteReference"/>
          <w:rFonts w:ascii="Times New Roman" w:hAnsi="Times New Roman" w:cs="Times New Roman"/>
        </w:rPr>
        <w:footnoteRef/>
      </w:r>
      <w:r w:rsidRPr="004F325F">
        <w:rPr>
          <w:rFonts w:ascii="Times New Roman" w:hAnsi="Times New Roman" w:cs="Times New Roman"/>
        </w:rPr>
        <w:t xml:space="preserve"> https://tm.lrv.lt/lt/teisine-informacija/tarptautbendrad/teisinis-bendradarbiavimas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E66A3"/>
    <w:multiLevelType w:val="hybridMultilevel"/>
    <w:tmpl w:val="4C3C0A4A"/>
    <w:lvl w:ilvl="0" w:tplc="27AE81E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DF5696"/>
    <w:multiLevelType w:val="hybridMultilevel"/>
    <w:tmpl w:val="9E2EE9BA"/>
    <w:lvl w:ilvl="0" w:tplc="524E13BE">
      <w:start w:val="1"/>
      <w:numFmt w:val="upperLetter"/>
      <w:lvlText w:val="%1."/>
      <w:lvlJc w:val="left"/>
      <w:pPr>
        <w:ind w:left="785"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9E8033E"/>
    <w:multiLevelType w:val="hybridMultilevel"/>
    <w:tmpl w:val="4934C74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9F7D7A"/>
    <w:multiLevelType w:val="hybridMultilevel"/>
    <w:tmpl w:val="5846F702"/>
    <w:lvl w:ilvl="0" w:tplc="08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AD6175"/>
    <w:multiLevelType w:val="hybridMultilevel"/>
    <w:tmpl w:val="295C2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DF63C1"/>
    <w:multiLevelType w:val="hybridMultilevel"/>
    <w:tmpl w:val="E55EDED6"/>
    <w:lvl w:ilvl="0" w:tplc="E3DC0E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563998"/>
    <w:multiLevelType w:val="hybridMultilevel"/>
    <w:tmpl w:val="6EAC4100"/>
    <w:lvl w:ilvl="0" w:tplc="618E1A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855E9A"/>
    <w:multiLevelType w:val="hybridMultilevel"/>
    <w:tmpl w:val="415854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324A33"/>
    <w:multiLevelType w:val="hybridMultilevel"/>
    <w:tmpl w:val="89F4C57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B63B23"/>
    <w:multiLevelType w:val="hybridMultilevel"/>
    <w:tmpl w:val="41585480"/>
    <w:lvl w:ilvl="0" w:tplc="64B012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B61BDD"/>
    <w:multiLevelType w:val="hybridMultilevel"/>
    <w:tmpl w:val="964A0D70"/>
    <w:lvl w:ilvl="0" w:tplc="472CEF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62398D"/>
    <w:multiLevelType w:val="hybridMultilevel"/>
    <w:tmpl w:val="1130A0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7D4183"/>
    <w:multiLevelType w:val="hybridMultilevel"/>
    <w:tmpl w:val="F02C83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C05B4A"/>
    <w:multiLevelType w:val="multilevel"/>
    <w:tmpl w:val="C6C64C1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4D4C25BF"/>
    <w:multiLevelType w:val="hybridMultilevel"/>
    <w:tmpl w:val="4934C74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678140F"/>
    <w:multiLevelType w:val="hybridMultilevel"/>
    <w:tmpl w:val="A7FABA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B9245EF"/>
    <w:multiLevelType w:val="hybridMultilevel"/>
    <w:tmpl w:val="415854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1357AA8"/>
    <w:multiLevelType w:val="hybridMultilevel"/>
    <w:tmpl w:val="D80E2E00"/>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8AE2DF2"/>
    <w:multiLevelType w:val="hybridMultilevel"/>
    <w:tmpl w:val="1BBC57A0"/>
    <w:lvl w:ilvl="0" w:tplc="1ABAD1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2B5EF4"/>
    <w:multiLevelType w:val="hybridMultilevel"/>
    <w:tmpl w:val="6EAC410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BFF260B"/>
    <w:multiLevelType w:val="hybridMultilevel"/>
    <w:tmpl w:val="D2886B38"/>
    <w:lvl w:ilvl="0" w:tplc="001EC7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9923863">
    <w:abstractNumId w:val="10"/>
  </w:num>
  <w:num w:numId="2" w16cid:durableId="1389650747">
    <w:abstractNumId w:val="2"/>
  </w:num>
  <w:num w:numId="3" w16cid:durableId="871068156">
    <w:abstractNumId w:val="14"/>
  </w:num>
  <w:num w:numId="4" w16cid:durableId="38357571">
    <w:abstractNumId w:val="18"/>
  </w:num>
  <w:num w:numId="5" w16cid:durableId="1338918853">
    <w:abstractNumId w:val="17"/>
  </w:num>
  <w:num w:numId="6" w16cid:durableId="385105508">
    <w:abstractNumId w:val="8"/>
  </w:num>
  <w:num w:numId="7" w16cid:durableId="229311743">
    <w:abstractNumId w:val="5"/>
  </w:num>
  <w:num w:numId="8" w16cid:durableId="530804505">
    <w:abstractNumId w:val="9"/>
  </w:num>
  <w:num w:numId="9" w16cid:durableId="1102189409">
    <w:abstractNumId w:val="16"/>
  </w:num>
  <w:num w:numId="10" w16cid:durableId="1136415389">
    <w:abstractNumId w:val="12"/>
  </w:num>
  <w:num w:numId="11" w16cid:durableId="1997764647">
    <w:abstractNumId w:val="0"/>
  </w:num>
  <w:num w:numId="12" w16cid:durableId="242495101">
    <w:abstractNumId w:val="1"/>
  </w:num>
  <w:num w:numId="13" w16cid:durableId="1915041003">
    <w:abstractNumId w:val="15"/>
  </w:num>
  <w:num w:numId="14" w16cid:durableId="1342009185">
    <w:abstractNumId w:val="7"/>
  </w:num>
  <w:num w:numId="15" w16cid:durableId="106512617">
    <w:abstractNumId w:val="20"/>
  </w:num>
  <w:num w:numId="16" w16cid:durableId="1707608176">
    <w:abstractNumId w:val="3"/>
  </w:num>
  <w:num w:numId="17" w16cid:durableId="2030065781">
    <w:abstractNumId w:val="13"/>
  </w:num>
  <w:num w:numId="18" w16cid:durableId="628167790">
    <w:abstractNumId w:val="4"/>
  </w:num>
  <w:num w:numId="19" w16cid:durableId="722405875">
    <w:abstractNumId w:val="11"/>
  </w:num>
  <w:num w:numId="20" w16cid:durableId="676662543">
    <w:abstractNumId w:val="6"/>
  </w:num>
  <w:num w:numId="21" w16cid:durableId="3087473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85C"/>
    <w:rsid w:val="00002E77"/>
    <w:rsid w:val="00003790"/>
    <w:rsid w:val="00005B89"/>
    <w:rsid w:val="0002476F"/>
    <w:rsid w:val="00024CE7"/>
    <w:rsid w:val="00037FF2"/>
    <w:rsid w:val="000428A5"/>
    <w:rsid w:val="000472D0"/>
    <w:rsid w:val="000508F4"/>
    <w:rsid w:val="00051010"/>
    <w:rsid w:val="000549ED"/>
    <w:rsid w:val="0006273A"/>
    <w:rsid w:val="00065051"/>
    <w:rsid w:val="000724AE"/>
    <w:rsid w:val="00093BC7"/>
    <w:rsid w:val="000B1442"/>
    <w:rsid w:val="000B722C"/>
    <w:rsid w:val="000C18DB"/>
    <w:rsid w:val="000C3A2F"/>
    <w:rsid w:val="000C5019"/>
    <w:rsid w:val="000C679D"/>
    <w:rsid w:val="000C689E"/>
    <w:rsid w:val="000D679B"/>
    <w:rsid w:val="000E62DF"/>
    <w:rsid w:val="000E77E1"/>
    <w:rsid w:val="000E7F0A"/>
    <w:rsid w:val="000F785C"/>
    <w:rsid w:val="00100F2B"/>
    <w:rsid w:val="00120AE0"/>
    <w:rsid w:val="00124677"/>
    <w:rsid w:val="0013761B"/>
    <w:rsid w:val="00143971"/>
    <w:rsid w:val="0015319E"/>
    <w:rsid w:val="0015340E"/>
    <w:rsid w:val="00161434"/>
    <w:rsid w:val="0018034F"/>
    <w:rsid w:val="001C4F3A"/>
    <w:rsid w:val="001D61EB"/>
    <w:rsid w:val="001F3CB5"/>
    <w:rsid w:val="001F7694"/>
    <w:rsid w:val="0021476E"/>
    <w:rsid w:val="002155D6"/>
    <w:rsid w:val="00226AB1"/>
    <w:rsid w:val="0023465A"/>
    <w:rsid w:val="0023605C"/>
    <w:rsid w:val="00240A42"/>
    <w:rsid w:val="00240E5C"/>
    <w:rsid w:val="00243AA7"/>
    <w:rsid w:val="00245FBD"/>
    <w:rsid w:val="00246C02"/>
    <w:rsid w:val="00282B6C"/>
    <w:rsid w:val="00283BCB"/>
    <w:rsid w:val="002879DE"/>
    <w:rsid w:val="002A0E63"/>
    <w:rsid w:val="002B1625"/>
    <w:rsid w:val="002B4C5F"/>
    <w:rsid w:val="002B7685"/>
    <w:rsid w:val="002C7AF3"/>
    <w:rsid w:val="002D57EF"/>
    <w:rsid w:val="002D751B"/>
    <w:rsid w:val="002E3532"/>
    <w:rsid w:val="0031609A"/>
    <w:rsid w:val="00321141"/>
    <w:rsid w:val="00327579"/>
    <w:rsid w:val="00333568"/>
    <w:rsid w:val="0034190F"/>
    <w:rsid w:val="00374D81"/>
    <w:rsid w:val="003802DB"/>
    <w:rsid w:val="00383229"/>
    <w:rsid w:val="003839DB"/>
    <w:rsid w:val="003903C0"/>
    <w:rsid w:val="0039705F"/>
    <w:rsid w:val="003A22E7"/>
    <w:rsid w:val="003A7189"/>
    <w:rsid w:val="003B58CD"/>
    <w:rsid w:val="003B65E9"/>
    <w:rsid w:val="003B7319"/>
    <w:rsid w:val="003E08FC"/>
    <w:rsid w:val="003E6D38"/>
    <w:rsid w:val="003F06AA"/>
    <w:rsid w:val="003F0FED"/>
    <w:rsid w:val="003F1C58"/>
    <w:rsid w:val="003F4CE6"/>
    <w:rsid w:val="00401457"/>
    <w:rsid w:val="00403A5E"/>
    <w:rsid w:val="00407CA9"/>
    <w:rsid w:val="00411A3C"/>
    <w:rsid w:val="00422787"/>
    <w:rsid w:val="004303C6"/>
    <w:rsid w:val="00430898"/>
    <w:rsid w:val="004333C1"/>
    <w:rsid w:val="004451B5"/>
    <w:rsid w:val="00446EB7"/>
    <w:rsid w:val="0045238D"/>
    <w:rsid w:val="00471DB8"/>
    <w:rsid w:val="00480A51"/>
    <w:rsid w:val="004942CE"/>
    <w:rsid w:val="004A28AC"/>
    <w:rsid w:val="004A302C"/>
    <w:rsid w:val="004B5029"/>
    <w:rsid w:val="004C440E"/>
    <w:rsid w:val="004D412C"/>
    <w:rsid w:val="004E016C"/>
    <w:rsid w:val="004E2EEB"/>
    <w:rsid w:val="004E331B"/>
    <w:rsid w:val="004F325F"/>
    <w:rsid w:val="005053C2"/>
    <w:rsid w:val="00513FB4"/>
    <w:rsid w:val="00517369"/>
    <w:rsid w:val="0052207F"/>
    <w:rsid w:val="00527BAD"/>
    <w:rsid w:val="00530825"/>
    <w:rsid w:val="00535ACC"/>
    <w:rsid w:val="00536C66"/>
    <w:rsid w:val="005817AA"/>
    <w:rsid w:val="00582D02"/>
    <w:rsid w:val="00583E42"/>
    <w:rsid w:val="00585BD5"/>
    <w:rsid w:val="00586FBA"/>
    <w:rsid w:val="005A457A"/>
    <w:rsid w:val="005A60C9"/>
    <w:rsid w:val="005F553D"/>
    <w:rsid w:val="00600C44"/>
    <w:rsid w:val="00622D88"/>
    <w:rsid w:val="00626F99"/>
    <w:rsid w:val="006337C2"/>
    <w:rsid w:val="0065336E"/>
    <w:rsid w:val="0066466E"/>
    <w:rsid w:val="00673187"/>
    <w:rsid w:val="00683EB6"/>
    <w:rsid w:val="006A0FFA"/>
    <w:rsid w:val="006A61BC"/>
    <w:rsid w:val="006E14E1"/>
    <w:rsid w:val="006E5174"/>
    <w:rsid w:val="00703592"/>
    <w:rsid w:val="00704BDE"/>
    <w:rsid w:val="007437FA"/>
    <w:rsid w:val="00744410"/>
    <w:rsid w:val="00760B25"/>
    <w:rsid w:val="00763BA5"/>
    <w:rsid w:val="007677F8"/>
    <w:rsid w:val="00787CB6"/>
    <w:rsid w:val="007919E2"/>
    <w:rsid w:val="007A0F36"/>
    <w:rsid w:val="007B7184"/>
    <w:rsid w:val="007D1728"/>
    <w:rsid w:val="007D7E71"/>
    <w:rsid w:val="007E5DDD"/>
    <w:rsid w:val="007E7FF1"/>
    <w:rsid w:val="007F48D6"/>
    <w:rsid w:val="007F54C9"/>
    <w:rsid w:val="00803BE2"/>
    <w:rsid w:val="00806199"/>
    <w:rsid w:val="008121CD"/>
    <w:rsid w:val="00815037"/>
    <w:rsid w:val="0082156F"/>
    <w:rsid w:val="008362C4"/>
    <w:rsid w:val="00847BA7"/>
    <w:rsid w:val="00866CCE"/>
    <w:rsid w:val="00866FE3"/>
    <w:rsid w:val="008702B5"/>
    <w:rsid w:val="0087575C"/>
    <w:rsid w:val="0087616E"/>
    <w:rsid w:val="008802CA"/>
    <w:rsid w:val="0088169E"/>
    <w:rsid w:val="00886DF0"/>
    <w:rsid w:val="0089412C"/>
    <w:rsid w:val="00897209"/>
    <w:rsid w:val="00897DC4"/>
    <w:rsid w:val="008A27D6"/>
    <w:rsid w:val="008A5DAA"/>
    <w:rsid w:val="008A5E0F"/>
    <w:rsid w:val="008A76E4"/>
    <w:rsid w:val="008C268B"/>
    <w:rsid w:val="008D2D4E"/>
    <w:rsid w:val="008F0987"/>
    <w:rsid w:val="00900386"/>
    <w:rsid w:val="00904D69"/>
    <w:rsid w:val="0090546D"/>
    <w:rsid w:val="0090675B"/>
    <w:rsid w:val="0091351D"/>
    <w:rsid w:val="00917066"/>
    <w:rsid w:val="00922603"/>
    <w:rsid w:val="00925AB8"/>
    <w:rsid w:val="009304A3"/>
    <w:rsid w:val="00933873"/>
    <w:rsid w:val="00945E11"/>
    <w:rsid w:val="00947DAC"/>
    <w:rsid w:val="0095022E"/>
    <w:rsid w:val="00956D17"/>
    <w:rsid w:val="009646B3"/>
    <w:rsid w:val="009650D1"/>
    <w:rsid w:val="009736E4"/>
    <w:rsid w:val="0098065E"/>
    <w:rsid w:val="00981E93"/>
    <w:rsid w:val="009851C5"/>
    <w:rsid w:val="00985331"/>
    <w:rsid w:val="009923A4"/>
    <w:rsid w:val="00992E52"/>
    <w:rsid w:val="009A0731"/>
    <w:rsid w:val="009B79FE"/>
    <w:rsid w:val="009C2892"/>
    <w:rsid w:val="009D66E7"/>
    <w:rsid w:val="009D7F98"/>
    <w:rsid w:val="009E1A88"/>
    <w:rsid w:val="009E5775"/>
    <w:rsid w:val="00A00B00"/>
    <w:rsid w:val="00A04E8A"/>
    <w:rsid w:val="00A058B4"/>
    <w:rsid w:val="00A12FF5"/>
    <w:rsid w:val="00A17EB8"/>
    <w:rsid w:val="00A32771"/>
    <w:rsid w:val="00A350F7"/>
    <w:rsid w:val="00A5001A"/>
    <w:rsid w:val="00A51F9B"/>
    <w:rsid w:val="00A72786"/>
    <w:rsid w:val="00A85B6B"/>
    <w:rsid w:val="00A91F59"/>
    <w:rsid w:val="00AA359A"/>
    <w:rsid w:val="00AB094A"/>
    <w:rsid w:val="00AB4497"/>
    <w:rsid w:val="00AB5785"/>
    <w:rsid w:val="00AB57F5"/>
    <w:rsid w:val="00AD201F"/>
    <w:rsid w:val="00AE2163"/>
    <w:rsid w:val="00AE27B9"/>
    <w:rsid w:val="00AF4633"/>
    <w:rsid w:val="00B14C89"/>
    <w:rsid w:val="00B17A40"/>
    <w:rsid w:val="00B204AE"/>
    <w:rsid w:val="00B24C2F"/>
    <w:rsid w:val="00B3507D"/>
    <w:rsid w:val="00B41E4A"/>
    <w:rsid w:val="00B442FB"/>
    <w:rsid w:val="00B8375A"/>
    <w:rsid w:val="00B84736"/>
    <w:rsid w:val="00B94B8D"/>
    <w:rsid w:val="00BA47F4"/>
    <w:rsid w:val="00BA48CF"/>
    <w:rsid w:val="00BB40A2"/>
    <w:rsid w:val="00BB6D5C"/>
    <w:rsid w:val="00BC55B5"/>
    <w:rsid w:val="00BD0DC7"/>
    <w:rsid w:val="00BD51FB"/>
    <w:rsid w:val="00BD78C8"/>
    <w:rsid w:val="00BF5578"/>
    <w:rsid w:val="00C2097E"/>
    <w:rsid w:val="00C27188"/>
    <w:rsid w:val="00C35206"/>
    <w:rsid w:val="00C416ED"/>
    <w:rsid w:val="00C42939"/>
    <w:rsid w:val="00C53DC4"/>
    <w:rsid w:val="00C544E3"/>
    <w:rsid w:val="00C630E5"/>
    <w:rsid w:val="00C65A39"/>
    <w:rsid w:val="00C7229C"/>
    <w:rsid w:val="00C84587"/>
    <w:rsid w:val="00C86BC1"/>
    <w:rsid w:val="00C9265F"/>
    <w:rsid w:val="00C95B72"/>
    <w:rsid w:val="00CA4C38"/>
    <w:rsid w:val="00CB475B"/>
    <w:rsid w:val="00CB4DDA"/>
    <w:rsid w:val="00CC2738"/>
    <w:rsid w:val="00CC2E29"/>
    <w:rsid w:val="00CD1EBC"/>
    <w:rsid w:val="00CD4BEF"/>
    <w:rsid w:val="00CD5066"/>
    <w:rsid w:val="00CE308A"/>
    <w:rsid w:val="00CF7629"/>
    <w:rsid w:val="00D04622"/>
    <w:rsid w:val="00D063EA"/>
    <w:rsid w:val="00D25976"/>
    <w:rsid w:val="00D309DF"/>
    <w:rsid w:val="00D31D1D"/>
    <w:rsid w:val="00D35FC8"/>
    <w:rsid w:val="00D42A4D"/>
    <w:rsid w:val="00D603CA"/>
    <w:rsid w:val="00D703CA"/>
    <w:rsid w:val="00D84674"/>
    <w:rsid w:val="00D86932"/>
    <w:rsid w:val="00D869B2"/>
    <w:rsid w:val="00D96B6E"/>
    <w:rsid w:val="00DA15F6"/>
    <w:rsid w:val="00DA5030"/>
    <w:rsid w:val="00DB42AB"/>
    <w:rsid w:val="00DD6317"/>
    <w:rsid w:val="00DE0A7A"/>
    <w:rsid w:val="00DE2018"/>
    <w:rsid w:val="00DF061A"/>
    <w:rsid w:val="00DF39F4"/>
    <w:rsid w:val="00E04FCA"/>
    <w:rsid w:val="00E10CF2"/>
    <w:rsid w:val="00E215E8"/>
    <w:rsid w:val="00E25D9C"/>
    <w:rsid w:val="00E27282"/>
    <w:rsid w:val="00E405E4"/>
    <w:rsid w:val="00E465ED"/>
    <w:rsid w:val="00E6335C"/>
    <w:rsid w:val="00E80601"/>
    <w:rsid w:val="00E83538"/>
    <w:rsid w:val="00EA1539"/>
    <w:rsid w:val="00EB10B6"/>
    <w:rsid w:val="00EB41D9"/>
    <w:rsid w:val="00EC7006"/>
    <w:rsid w:val="00EE2DF1"/>
    <w:rsid w:val="00EE42C6"/>
    <w:rsid w:val="00EE6011"/>
    <w:rsid w:val="00EE760D"/>
    <w:rsid w:val="00EF35A8"/>
    <w:rsid w:val="00EF7B49"/>
    <w:rsid w:val="00F00E77"/>
    <w:rsid w:val="00F05FA6"/>
    <w:rsid w:val="00F158F6"/>
    <w:rsid w:val="00F26201"/>
    <w:rsid w:val="00F408AF"/>
    <w:rsid w:val="00F41287"/>
    <w:rsid w:val="00F77372"/>
    <w:rsid w:val="00F855CF"/>
    <w:rsid w:val="00F90EBB"/>
    <w:rsid w:val="00F96F81"/>
    <w:rsid w:val="00FA0FF7"/>
    <w:rsid w:val="00FA2181"/>
    <w:rsid w:val="00FC0595"/>
    <w:rsid w:val="00FC1C63"/>
    <w:rsid w:val="00FC2323"/>
    <w:rsid w:val="00FF5354"/>
    <w:rsid w:val="00FF6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9931C"/>
  <w15:chartTrackingRefBased/>
  <w15:docId w15:val="{AAE38B51-E24C-4F19-A79E-02A93D7F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5F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45F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50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mailSignature">
    <w:name w:val="E-mail Signature"/>
    <w:basedOn w:val="Normal"/>
    <w:link w:val="E-mailSignatureChar"/>
    <w:uiPriority w:val="99"/>
    <w:semiHidden/>
    <w:unhideWhenUsed/>
    <w:rsid w:val="000F785C"/>
    <w:pPr>
      <w:spacing w:after="0" w:line="240" w:lineRule="auto"/>
    </w:pPr>
    <w:rPr>
      <w:rFonts w:eastAsiaTheme="minorEastAsia"/>
      <w:lang w:eastAsia="en-GB"/>
    </w:rPr>
  </w:style>
  <w:style w:type="character" w:customStyle="1" w:styleId="E-mailSignatureChar">
    <w:name w:val="E-mail Signature Char"/>
    <w:basedOn w:val="DefaultParagraphFont"/>
    <w:link w:val="E-mailSignature"/>
    <w:uiPriority w:val="99"/>
    <w:semiHidden/>
    <w:rsid w:val="000F785C"/>
    <w:rPr>
      <w:rFonts w:eastAsiaTheme="minorEastAsia"/>
      <w:lang w:eastAsia="en-GB"/>
    </w:rPr>
  </w:style>
  <w:style w:type="character" w:styleId="Hyperlink">
    <w:name w:val="Hyperlink"/>
    <w:basedOn w:val="DefaultParagraphFont"/>
    <w:uiPriority w:val="99"/>
    <w:unhideWhenUsed/>
    <w:rsid w:val="000F785C"/>
    <w:rPr>
      <w:color w:val="0563C1"/>
      <w:u w:val="single"/>
    </w:rPr>
  </w:style>
  <w:style w:type="character" w:customStyle="1" w:styleId="UnresolvedMention1">
    <w:name w:val="Unresolved Mention1"/>
    <w:basedOn w:val="DefaultParagraphFont"/>
    <w:uiPriority w:val="99"/>
    <w:semiHidden/>
    <w:unhideWhenUsed/>
    <w:rsid w:val="000F785C"/>
    <w:rPr>
      <w:color w:val="605E5C"/>
      <w:shd w:val="clear" w:color="auto" w:fill="E1DFDD"/>
    </w:rPr>
  </w:style>
  <w:style w:type="paragraph" w:styleId="Header">
    <w:name w:val="header"/>
    <w:basedOn w:val="Normal"/>
    <w:link w:val="HeaderChar"/>
    <w:uiPriority w:val="99"/>
    <w:unhideWhenUsed/>
    <w:rsid w:val="00EE2D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DF1"/>
  </w:style>
  <w:style w:type="paragraph" w:styleId="Footer">
    <w:name w:val="footer"/>
    <w:basedOn w:val="Normal"/>
    <w:link w:val="FooterChar"/>
    <w:uiPriority w:val="99"/>
    <w:unhideWhenUsed/>
    <w:rsid w:val="00EE2D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DF1"/>
  </w:style>
  <w:style w:type="paragraph" w:styleId="ListParagraph">
    <w:name w:val="List Paragraph"/>
    <w:basedOn w:val="Normal"/>
    <w:uiPriority w:val="34"/>
    <w:qFormat/>
    <w:rsid w:val="004942CE"/>
    <w:pPr>
      <w:ind w:left="720"/>
      <w:contextualSpacing/>
    </w:pPr>
  </w:style>
  <w:style w:type="character" w:customStyle="1" w:styleId="Heading2Char">
    <w:name w:val="Heading 2 Char"/>
    <w:basedOn w:val="DefaultParagraphFont"/>
    <w:link w:val="Heading2"/>
    <w:uiPriority w:val="9"/>
    <w:rsid w:val="00245FB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D5066"/>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0D679B"/>
    <w:rPr>
      <w:sz w:val="16"/>
      <w:szCs w:val="16"/>
    </w:rPr>
  </w:style>
  <w:style w:type="paragraph" w:styleId="CommentText">
    <w:name w:val="annotation text"/>
    <w:basedOn w:val="Normal"/>
    <w:link w:val="CommentTextChar"/>
    <w:uiPriority w:val="99"/>
    <w:semiHidden/>
    <w:unhideWhenUsed/>
    <w:rsid w:val="000D679B"/>
    <w:pPr>
      <w:spacing w:line="240" w:lineRule="auto"/>
    </w:pPr>
    <w:rPr>
      <w:sz w:val="20"/>
      <w:szCs w:val="20"/>
    </w:rPr>
  </w:style>
  <w:style w:type="character" w:customStyle="1" w:styleId="CommentTextChar">
    <w:name w:val="Comment Text Char"/>
    <w:basedOn w:val="DefaultParagraphFont"/>
    <w:link w:val="CommentText"/>
    <w:uiPriority w:val="99"/>
    <w:semiHidden/>
    <w:rsid w:val="000D679B"/>
    <w:rPr>
      <w:sz w:val="20"/>
      <w:szCs w:val="20"/>
    </w:rPr>
  </w:style>
  <w:style w:type="paragraph" w:styleId="CommentSubject">
    <w:name w:val="annotation subject"/>
    <w:basedOn w:val="CommentText"/>
    <w:next w:val="CommentText"/>
    <w:link w:val="CommentSubjectChar"/>
    <w:uiPriority w:val="99"/>
    <w:semiHidden/>
    <w:unhideWhenUsed/>
    <w:rsid w:val="000D679B"/>
    <w:rPr>
      <w:b/>
      <w:bCs/>
    </w:rPr>
  </w:style>
  <w:style w:type="character" w:customStyle="1" w:styleId="CommentSubjectChar">
    <w:name w:val="Comment Subject Char"/>
    <w:basedOn w:val="CommentTextChar"/>
    <w:link w:val="CommentSubject"/>
    <w:uiPriority w:val="99"/>
    <w:semiHidden/>
    <w:rsid w:val="000D679B"/>
    <w:rPr>
      <w:b/>
      <w:bCs/>
      <w:sz w:val="20"/>
      <w:szCs w:val="20"/>
    </w:rPr>
  </w:style>
  <w:style w:type="paragraph" w:styleId="BalloonText">
    <w:name w:val="Balloon Text"/>
    <w:basedOn w:val="Normal"/>
    <w:link w:val="BalloonTextChar"/>
    <w:uiPriority w:val="99"/>
    <w:semiHidden/>
    <w:unhideWhenUsed/>
    <w:rsid w:val="009502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22E"/>
    <w:rPr>
      <w:rFonts w:ascii="Segoe UI" w:hAnsi="Segoe UI" w:cs="Segoe UI"/>
      <w:sz w:val="18"/>
      <w:szCs w:val="18"/>
    </w:rPr>
  </w:style>
  <w:style w:type="paragraph" w:styleId="FootnoteText">
    <w:name w:val="footnote text"/>
    <w:basedOn w:val="Normal"/>
    <w:link w:val="FootnoteTextChar"/>
    <w:uiPriority w:val="99"/>
    <w:unhideWhenUsed/>
    <w:qFormat/>
    <w:rsid w:val="003F0FED"/>
    <w:pPr>
      <w:spacing w:after="0" w:line="240" w:lineRule="auto"/>
    </w:pPr>
    <w:rPr>
      <w:sz w:val="20"/>
      <w:szCs w:val="20"/>
    </w:rPr>
  </w:style>
  <w:style w:type="character" w:customStyle="1" w:styleId="FootnoteTextChar">
    <w:name w:val="Footnote Text Char"/>
    <w:basedOn w:val="DefaultParagraphFont"/>
    <w:link w:val="FootnoteText"/>
    <w:uiPriority w:val="99"/>
    <w:rsid w:val="003F0FED"/>
    <w:rPr>
      <w:sz w:val="20"/>
      <w:szCs w:val="20"/>
    </w:rPr>
  </w:style>
  <w:style w:type="character" w:styleId="FootnoteReference">
    <w:name w:val="footnote reference"/>
    <w:aliases w:val="Footnote Reference Superscript,Footnote Reference text,Footnote symbol,Voetnootverwijzing,footnote ref,FR,Fußnotenzeichen diss neu,Times 10 Point,Exposant 3 Point,Odwołanie przypisu,Fuﬂnotenzeichen diss neu,BVI fnr,Odwo³anie przypisu"/>
    <w:basedOn w:val="DefaultParagraphFont"/>
    <w:uiPriority w:val="99"/>
    <w:unhideWhenUsed/>
    <w:rsid w:val="003F0FED"/>
    <w:rPr>
      <w:vertAlign w:val="superscript"/>
    </w:rPr>
  </w:style>
  <w:style w:type="character" w:customStyle="1" w:styleId="Heading1Char">
    <w:name w:val="Heading 1 Char"/>
    <w:basedOn w:val="DefaultParagraphFont"/>
    <w:link w:val="Heading1"/>
    <w:uiPriority w:val="9"/>
    <w:rsid w:val="00F05FA6"/>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F05FA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F7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D31D1D"/>
    <w:pPr>
      <w:spacing w:after="200" w:line="276" w:lineRule="auto"/>
    </w:pPr>
    <w:rPr>
      <w:rFonts w:ascii="Calibri" w:eastAsia="Calibri" w:hAnsi="Calibri" w:cs="Calibri"/>
      <w:color w:val="000000"/>
      <w:lang w:val="it-IT" w:eastAsia="it-IT"/>
    </w:rPr>
  </w:style>
  <w:style w:type="paragraph" w:styleId="TOC2">
    <w:name w:val="toc 2"/>
    <w:basedOn w:val="Normal"/>
    <w:next w:val="Normal"/>
    <w:autoRedefine/>
    <w:uiPriority w:val="39"/>
    <w:unhideWhenUsed/>
    <w:rsid w:val="007919E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78384">
      <w:bodyDiv w:val="1"/>
      <w:marLeft w:val="0"/>
      <w:marRight w:val="0"/>
      <w:marTop w:val="0"/>
      <w:marBottom w:val="0"/>
      <w:divBdr>
        <w:top w:val="none" w:sz="0" w:space="0" w:color="auto"/>
        <w:left w:val="none" w:sz="0" w:space="0" w:color="auto"/>
        <w:bottom w:val="none" w:sz="0" w:space="0" w:color="auto"/>
        <w:right w:val="none" w:sz="0" w:space="0" w:color="auto"/>
      </w:divBdr>
      <w:divsChild>
        <w:div w:id="1651134560">
          <w:marLeft w:val="0"/>
          <w:marRight w:val="0"/>
          <w:marTop w:val="0"/>
          <w:marBottom w:val="0"/>
          <w:divBdr>
            <w:top w:val="none" w:sz="0" w:space="0" w:color="auto"/>
            <w:left w:val="none" w:sz="0" w:space="0" w:color="auto"/>
            <w:bottom w:val="none" w:sz="0" w:space="0" w:color="auto"/>
            <w:right w:val="none" w:sz="0" w:space="0" w:color="auto"/>
          </w:divBdr>
          <w:divsChild>
            <w:div w:id="1155955696">
              <w:marLeft w:val="0"/>
              <w:marRight w:val="0"/>
              <w:marTop w:val="0"/>
              <w:marBottom w:val="0"/>
              <w:divBdr>
                <w:top w:val="none" w:sz="0" w:space="0" w:color="auto"/>
                <w:left w:val="none" w:sz="0" w:space="0" w:color="auto"/>
                <w:bottom w:val="none" w:sz="0" w:space="0" w:color="auto"/>
                <w:right w:val="none" w:sz="0" w:space="0" w:color="auto"/>
              </w:divBdr>
              <w:divsChild>
                <w:div w:id="2102532413">
                  <w:marLeft w:val="0"/>
                  <w:marRight w:val="0"/>
                  <w:marTop w:val="0"/>
                  <w:marBottom w:val="0"/>
                  <w:divBdr>
                    <w:top w:val="none" w:sz="0" w:space="0" w:color="auto"/>
                    <w:left w:val="none" w:sz="0" w:space="0" w:color="auto"/>
                    <w:bottom w:val="none" w:sz="0" w:space="0" w:color="auto"/>
                    <w:right w:val="none" w:sz="0" w:space="0" w:color="auto"/>
                  </w:divBdr>
                  <w:divsChild>
                    <w:div w:id="177543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81693">
      <w:bodyDiv w:val="1"/>
      <w:marLeft w:val="0"/>
      <w:marRight w:val="0"/>
      <w:marTop w:val="0"/>
      <w:marBottom w:val="0"/>
      <w:divBdr>
        <w:top w:val="none" w:sz="0" w:space="0" w:color="auto"/>
        <w:left w:val="none" w:sz="0" w:space="0" w:color="auto"/>
        <w:bottom w:val="none" w:sz="0" w:space="0" w:color="auto"/>
        <w:right w:val="none" w:sz="0" w:space="0" w:color="auto"/>
      </w:divBdr>
    </w:div>
    <w:div w:id="606740927">
      <w:bodyDiv w:val="1"/>
      <w:marLeft w:val="0"/>
      <w:marRight w:val="0"/>
      <w:marTop w:val="0"/>
      <w:marBottom w:val="0"/>
      <w:divBdr>
        <w:top w:val="none" w:sz="0" w:space="0" w:color="auto"/>
        <w:left w:val="none" w:sz="0" w:space="0" w:color="auto"/>
        <w:bottom w:val="none" w:sz="0" w:space="0" w:color="auto"/>
        <w:right w:val="none" w:sz="0" w:space="0" w:color="auto"/>
      </w:divBdr>
      <w:divsChild>
        <w:div w:id="1848520078">
          <w:marLeft w:val="0"/>
          <w:marRight w:val="0"/>
          <w:marTop w:val="0"/>
          <w:marBottom w:val="0"/>
          <w:divBdr>
            <w:top w:val="none" w:sz="0" w:space="0" w:color="auto"/>
            <w:left w:val="none" w:sz="0" w:space="0" w:color="auto"/>
            <w:bottom w:val="none" w:sz="0" w:space="0" w:color="auto"/>
            <w:right w:val="none" w:sz="0" w:space="0" w:color="auto"/>
          </w:divBdr>
          <w:divsChild>
            <w:div w:id="2048797173">
              <w:marLeft w:val="0"/>
              <w:marRight w:val="0"/>
              <w:marTop w:val="0"/>
              <w:marBottom w:val="0"/>
              <w:divBdr>
                <w:top w:val="none" w:sz="0" w:space="0" w:color="auto"/>
                <w:left w:val="none" w:sz="0" w:space="0" w:color="auto"/>
                <w:bottom w:val="none" w:sz="0" w:space="0" w:color="auto"/>
                <w:right w:val="none" w:sz="0" w:space="0" w:color="auto"/>
              </w:divBdr>
              <w:divsChild>
                <w:div w:id="1769617205">
                  <w:marLeft w:val="0"/>
                  <w:marRight w:val="0"/>
                  <w:marTop w:val="0"/>
                  <w:marBottom w:val="0"/>
                  <w:divBdr>
                    <w:top w:val="none" w:sz="0" w:space="0" w:color="auto"/>
                    <w:left w:val="none" w:sz="0" w:space="0" w:color="auto"/>
                    <w:bottom w:val="none" w:sz="0" w:space="0" w:color="auto"/>
                    <w:right w:val="none" w:sz="0" w:space="0" w:color="auto"/>
                  </w:divBdr>
                </w:div>
                <w:div w:id="2050185782">
                  <w:marLeft w:val="0"/>
                  <w:marRight w:val="0"/>
                  <w:marTop w:val="0"/>
                  <w:marBottom w:val="0"/>
                  <w:divBdr>
                    <w:top w:val="none" w:sz="0" w:space="0" w:color="auto"/>
                    <w:left w:val="none" w:sz="0" w:space="0" w:color="auto"/>
                    <w:bottom w:val="none" w:sz="0" w:space="0" w:color="auto"/>
                    <w:right w:val="none" w:sz="0" w:space="0" w:color="auto"/>
                  </w:divBdr>
                </w:div>
              </w:divsChild>
            </w:div>
            <w:div w:id="61418088">
              <w:marLeft w:val="0"/>
              <w:marRight w:val="0"/>
              <w:marTop w:val="0"/>
              <w:marBottom w:val="0"/>
              <w:divBdr>
                <w:top w:val="none" w:sz="0" w:space="0" w:color="auto"/>
                <w:left w:val="none" w:sz="0" w:space="0" w:color="auto"/>
                <w:bottom w:val="none" w:sz="0" w:space="0" w:color="auto"/>
                <w:right w:val="none" w:sz="0" w:space="0" w:color="auto"/>
              </w:divBdr>
              <w:divsChild>
                <w:div w:id="526452748">
                  <w:marLeft w:val="0"/>
                  <w:marRight w:val="0"/>
                  <w:marTop w:val="0"/>
                  <w:marBottom w:val="0"/>
                  <w:divBdr>
                    <w:top w:val="none" w:sz="0" w:space="0" w:color="auto"/>
                    <w:left w:val="none" w:sz="0" w:space="0" w:color="auto"/>
                    <w:bottom w:val="none" w:sz="0" w:space="0" w:color="auto"/>
                    <w:right w:val="none" w:sz="0" w:space="0" w:color="auto"/>
                  </w:divBdr>
                </w:div>
                <w:div w:id="1265765137">
                  <w:marLeft w:val="0"/>
                  <w:marRight w:val="0"/>
                  <w:marTop w:val="0"/>
                  <w:marBottom w:val="0"/>
                  <w:divBdr>
                    <w:top w:val="none" w:sz="0" w:space="0" w:color="auto"/>
                    <w:left w:val="none" w:sz="0" w:space="0" w:color="auto"/>
                    <w:bottom w:val="none" w:sz="0" w:space="0" w:color="auto"/>
                    <w:right w:val="none" w:sz="0" w:space="0" w:color="auto"/>
                  </w:divBdr>
                </w:div>
                <w:div w:id="323627639">
                  <w:marLeft w:val="0"/>
                  <w:marRight w:val="0"/>
                  <w:marTop w:val="0"/>
                  <w:marBottom w:val="0"/>
                  <w:divBdr>
                    <w:top w:val="none" w:sz="0" w:space="0" w:color="auto"/>
                    <w:left w:val="none" w:sz="0" w:space="0" w:color="auto"/>
                    <w:bottom w:val="none" w:sz="0" w:space="0" w:color="auto"/>
                    <w:right w:val="none" w:sz="0" w:space="0" w:color="auto"/>
                  </w:divBdr>
                </w:div>
                <w:div w:id="48925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18176">
      <w:bodyDiv w:val="1"/>
      <w:marLeft w:val="0"/>
      <w:marRight w:val="0"/>
      <w:marTop w:val="0"/>
      <w:marBottom w:val="0"/>
      <w:divBdr>
        <w:top w:val="none" w:sz="0" w:space="0" w:color="auto"/>
        <w:left w:val="none" w:sz="0" w:space="0" w:color="auto"/>
        <w:bottom w:val="none" w:sz="0" w:space="0" w:color="auto"/>
        <w:right w:val="none" w:sz="0" w:space="0" w:color="auto"/>
      </w:divBdr>
    </w:div>
    <w:div w:id="670372095">
      <w:bodyDiv w:val="1"/>
      <w:marLeft w:val="0"/>
      <w:marRight w:val="0"/>
      <w:marTop w:val="0"/>
      <w:marBottom w:val="0"/>
      <w:divBdr>
        <w:top w:val="none" w:sz="0" w:space="0" w:color="auto"/>
        <w:left w:val="none" w:sz="0" w:space="0" w:color="auto"/>
        <w:bottom w:val="none" w:sz="0" w:space="0" w:color="auto"/>
        <w:right w:val="none" w:sz="0" w:space="0" w:color="auto"/>
      </w:divBdr>
      <w:divsChild>
        <w:div w:id="1807040127">
          <w:marLeft w:val="0"/>
          <w:marRight w:val="0"/>
          <w:marTop w:val="0"/>
          <w:marBottom w:val="0"/>
          <w:divBdr>
            <w:top w:val="none" w:sz="0" w:space="0" w:color="auto"/>
            <w:left w:val="none" w:sz="0" w:space="0" w:color="auto"/>
            <w:bottom w:val="none" w:sz="0" w:space="0" w:color="auto"/>
            <w:right w:val="none" w:sz="0" w:space="0" w:color="auto"/>
          </w:divBdr>
          <w:divsChild>
            <w:div w:id="898637572">
              <w:marLeft w:val="0"/>
              <w:marRight w:val="0"/>
              <w:marTop w:val="0"/>
              <w:marBottom w:val="0"/>
              <w:divBdr>
                <w:top w:val="none" w:sz="0" w:space="0" w:color="auto"/>
                <w:left w:val="none" w:sz="0" w:space="0" w:color="auto"/>
                <w:bottom w:val="none" w:sz="0" w:space="0" w:color="auto"/>
                <w:right w:val="none" w:sz="0" w:space="0" w:color="auto"/>
              </w:divBdr>
              <w:divsChild>
                <w:div w:id="1606959183">
                  <w:marLeft w:val="0"/>
                  <w:marRight w:val="0"/>
                  <w:marTop w:val="0"/>
                  <w:marBottom w:val="0"/>
                  <w:divBdr>
                    <w:top w:val="none" w:sz="0" w:space="0" w:color="auto"/>
                    <w:left w:val="none" w:sz="0" w:space="0" w:color="auto"/>
                    <w:bottom w:val="none" w:sz="0" w:space="0" w:color="auto"/>
                    <w:right w:val="none" w:sz="0" w:space="0" w:color="auto"/>
                  </w:divBdr>
                  <w:divsChild>
                    <w:div w:id="190036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808390">
      <w:bodyDiv w:val="1"/>
      <w:marLeft w:val="0"/>
      <w:marRight w:val="0"/>
      <w:marTop w:val="0"/>
      <w:marBottom w:val="0"/>
      <w:divBdr>
        <w:top w:val="none" w:sz="0" w:space="0" w:color="auto"/>
        <w:left w:val="none" w:sz="0" w:space="0" w:color="auto"/>
        <w:bottom w:val="none" w:sz="0" w:space="0" w:color="auto"/>
        <w:right w:val="none" w:sz="0" w:space="0" w:color="auto"/>
      </w:divBdr>
    </w:div>
    <w:div w:id="703208934">
      <w:bodyDiv w:val="1"/>
      <w:marLeft w:val="0"/>
      <w:marRight w:val="0"/>
      <w:marTop w:val="0"/>
      <w:marBottom w:val="0"/>
      <w:divBdr>
        <w:top w:val="none" w:sz="0" w:space="0" w:color="auto"/>
        <w:left w:val="none" w:sz="0" w:space="0" w:color="auto"/>
        <w:bottom w:val="none" w:sz="0" w:space="0" w:color="auto"/>
        <w:right w:val="none" w:sz="0" w:space="0" w:color="auto"/>
      </w:divBdr>
      <w:divsChild>
        <w:div w:id="574974307">
          <w:marLeft w:val="0"/>
          <w:marRight w:val="0"/>
          <w:marTop w:val="0"/>
          <w:marBottom w:val="0"/>
          <w:divBdr>
            <w:top w:val="none" w:sz="0" w:space="0" w:color="auto"/>
            <w:left w:val="none" w:sz="0" w:space="0" w:color="auto"/>
            <w:bottom w:val="none" w:sz="0" w:space="0" w:color="auto"/>
            <w:right w:val="none" w:sz="0" w:space="0" w:color="auto"/>
          </w:divBdr>
          <w:divsChild>
            <w:div w:id="379937816">
              <w:marLeft w:val="0"/>
              <w:marRight w:val="0"/>
              <w:marTop w:val="0"/>
              <w:marBottom w:val="0"/>
              <w:divBdr>
                <w:top w:val="none" w:sz="0" w:space="0" w:color="auto"/>
                <w:left w:val="none" w:sz="0" w:space="0" w:color="auto"/>
                <w:bottom w:val="none" w:sz="0" w:space="0" w:color="auto"/>
                <w:right w:val="none" w:sz="0" w:space="0" w:color="auto"/>
              </w:divBdr>
              <w:divsChild>
                <w:div w:id="9477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93024">
      <w:bodyDiv w:val="1"/>
      <w:marLeft w:val="0"/>
      <w:marRight w:val="0"/>
      <w:marTop w:val="0"/>
      <w:marBottom w:val="0"/>
      <w:divBdr>
        <w:top w:val="none" w:sz="0" w:space="0" w:color="auto"/>
        <w:left w:val="none" w:sz="0" w:space="0" w:color="auto"/>
        <w:bottom w:val="none" w:sz="0" w:space="0" w:color="auto"/>
        <w:right w:val="none" w:sz="0" w:space="0" w:color="auto"/>
      </w:divBdr>
    </w:div>
    <w:div w:id="1202472391">
      <w:bodyDiv w:val="1"/>
      <w:marLeft w:val="0"/>
      <w:marRight w:val="0"/>
      <w:marTop w:val="0"/>
      <w:marBottom w:val="0"/>
      <w:divBdr>
        <w:top w:val="none" w:sz="0" w:space="0" w:color="auto"/>
        <w:left w:val="none" w:sz="0" w:space="0" w:color="auto"/>
        <w:bottom w:val="none" w:sz="0" w:space="0" w:color="auto"/>
        <w:right w:val="none" w:sz="0" w:space="0" w:color="auto"/>
      </w:divBdr>
      <w:divsChild>
        <w:div w:id="757017074">
          <w:marLeft w:val="0"/>
          <w:marRight w:val="0"/>
          <w:marTop w:val="0"/>
          <w:marBottom w:val="0"/>
          <w:divBdr>
            <w:top w:val="none" w:sz="0" w:space="0" w:color="auto"/>
            <w:left w:val="single" w:sz="6" w:space="0" w:color="auto"/>
            <w:bottom w:val="none" w:sz="0" w:space="0" w:color="auto"/>
            <w:right w:val="none" w:sz="0" w:space="0" w:color="auto"/>
          </w:divBdr>
          <w:divsChild>
            <w:div w:id="1579705225">
              <w:marLeft w:val="0"/>
              <w:marRight w:val="0"/>
              <w:marTop w:val="0"/>
              <w:marBottom w:val="0"/>
              <w:divBdr>
                <w:top w:val="none" w:sz="0" w:space="0" w:color="auto"/>
                <w:left w:val="none" w:sz="0" w:space="0" w:color="auto"/>
                <w:bottom w:val="none" w:sz="0" w:space="0" w:color="auto"/>
                <w:right w:val="none" w:sz="0" w:space="0" w:color="auto"/>
              </w:divBdr>
              <w:divsChild>
                <w:div w:id="945187273">
                  <w:marLeft w:val="0"/>
                  <w:marRight w:val="0"/>
                  <w:marTop w:val="0"/>
                  <w:marBottom w:val="0"/>
                  <w:divBdr>
                    <w:top w:val="none" w:sz="0" w:space="0" w:color="auto"/>
                    <w:left w:val="none" w:sz="0" w:space="0" w:color="auto"/>
                    <w:bottom w:val="none" w:sz="0" w:space="0" w:color="auto"/>
                    <w:right w:val="none" w:sz="0" w:space="0" w:color="auto"/>
                  </w:divBdr>
                  <w:divsChild>
                    <w:div w:id="1509519613">
                      <w:marLeft w:val="0"/>
                      <w:marRight w:val="0"/>
                      <w:marTop w:val="0"/>
                      <w:marBottom w:val="0"/>
                      <w:divBdr>
                        <w:top w:val="none" w:sz="0" w:space="0" w:color="auto"/>
                        <w:left w:val="none" w:sz="0" w:space="0" w:color="auto"/>
                        <w:bottom w:val="none" w:sz="0" w:space="0" w:color="auto"/>
                        <w:right w:val="none" w:sz="0" w:space="0" w:color="auto"/>
                      </w:divBdr>
                      <w:divsChild>
                        <w:div w:id="1815485161">
                          <w:marLeft w:val="0"/>
                          <w:marRight w:val="0"/>
                          <w:marTop w:val="0"/>
                          <w:marBottom w:val="0"/>
                          <w:divBdr>
                            <w:top w:val="none" w:sz="0" w:space="0" w:color="auto"/>
                            <w:left w:val="none" w:sz="0" w:space="0" w:color="auto"/>
                            <w:bottom w:val="none" w:sz="0" w:space="0" w:color="auto"/>
                            <w:right w:val="none" w:sz="0" w:space="0" w:color="auto"/>
                          </w:divBdr>
                        </w:div>
                        <w:div w:id="1501701732">
                          <w:marLeft w:val="0"/>
                          <w:marRight w:val="0"/>
                          <w:marTop w:val="0"/>
                          <w:marBottom w:val="0"/>
                          <w:divBdr>
                            <w:top w:val="none" w:sz="0" w:space="0" w:color="auto"/>
                            <w:left w:val="none" w:sz="0" w:space="0" w:color="auto"/>
                            <w:bottom w:val="none" w:sz="0" w:space="0" w:color="auto"/>
                            <w:right w:val="none" w:sz="0" w:space="0" w:color="auto"/>
                          </w:divBdr>
                          <w:divsChild>
                            <w:div w:id="1725064401">
                              <w:marLeft w:val="0"/>
                              <w:marRight w:val="0"/>
                              <w:marTop w:val="0"/>
                              <w:marBottom w:val="0"/>
                              <w:divBdr>
                                <w:top w:val="none" w:sz="0" w:space="0" w:color="auto"/>
                                <w:left w:val="none" w:sz="0" w:space="0" w:color="auto"/>
                                <w:bottom w:val="none" w:sz="0" w:space="0" w:color="auto"/>
                                <w:right w:val="none" w:sz="0" w:space="0" w:color="auto"/>
                              </w:divBdr>
                              <w:divsChild>
                                <w:div w:id="16918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544523">
      <w:bodyDiv w:val="1"/>
      <w:marLeft w:val="0"/>
      <w:marRight w:val="0"/>
      <w:marTop w:val="0"/>
      <w:marBottom w:val="0"/>
      <w:divBdr>
        <w:top w:val="none" w:sz="0" w:space="0" w:color="auto"/>
        <w:left w:val="none" w:sz="0" w:space="0" w:color="auto"/>
        <w:bottom w:val="none" w:sz="0" w:space="0" w:color="auto"/>
        <w:right w:val="none" w:sz="0" w:space="0" w:color="auto"/>
      </w:divBdr>
      <w:divsChild>
        <w:div w:id="1659268265">
          <w:marLeft w:val="0"/>
          <w:marRight w:val="0"/>
          <w:marTop w:val="0"/>
          <w:marBottom w:val="0"/>
          <w:divBdr>
            <w:top w:val="none" w:sz="0" w:space="0" w:color="auto"/>
            <w:left w:val="none" w:sz="0" w:space="0" w:color="auto"/>
            <w:bottom w:val="none" w:sz="0" w:space="0" w:color="auto"/>
            <w:right w:val="none" w:sz="0" w:space="0" w:color="auto"/>
          </w:divBdr>
          <w:divsChild>
            <w:div w:id="751439332">
              <w:marLeft w:val="0"/>
              <w:marRight w:val="0"/>
              <w:marTop w:val="0"/>
              <w:marBottom w:val="0"/>
              <w:divBdr>
                <w:top w:val="none" w:sz="0" w:space="0" w:color="auto"/>
                <w:left w:val="none" w:sz="0" w:space="0" w:color="auto"/>
                <w:bottom w:val="none" w:sz="0" w:space="0" w:color="auto"/>
                <w:right w:val="none" w:sz="0" w:space="0" w:color="auto"/>
              </w:divBdr>
              <w:divsChild>
                <w:div w:id="19756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33987">
      <w:bodyDiv w:val="1"/>
      <w:marLeft w:val="0"/>
      <w:marRight w:val="0"/>
      <w:marTop w:val="0"/>
      <w:marBottom w:val="0"/>
      <w:divBdr>
        <w:top w:val="none" w:sz="0" w:space="0" w:color="auto"/>
        <w:left w:val="none" w:sz="0" w:space="0" w:color="auto"/>
        <w:bottom w:val="none" w:sz="0" w:space="0" w:color="auto"/>
        <w:right w:val="none" w:sz="0" w:space="0" w:color="auto"/>
      </w:divBdr>
      <w:divsChild>
        <w:div w:id="654384285">
          <w:marLeft w:val="0"/>
          <w:marRight w:val="0"/>
          <w:marTop w:val="0"/>
          <w:marBottom w:val="0"/>
          <w:divBdr>
            <w:top w:val="none" w:sz="0" w:space="0" w:color="auto"/>
            <w:left w:val="none" w:sz="0" w:space="0" w:color="auto"/>
            <w:bottom w:val="none" w:sz="0" w:space="0" w:color="auto"/>
            <w:right w:val="none" w:sz="0" w:space="0" w:color="auto"/>
          </w:divBdr>
          <w:divsChild>
            <w:div w:id="2082018300">
              <w:marLeft w:val="0"/>
              <w:marRight w:val="0"/>
              <w:marTop w:val="0"/>
              <w:marBottom w:val="0"/>
              <w:divBdr>
                <w:top w:val="none" w:sz="0" w:space="0" w:color="auto"/>
                <w:left w:val="none" w:sz="0" w:space="0" w:color="auto"/>
                <w:bottom w:val="none" w:sz="0" w:space="0" w:color="auto"/>
                <w:right w:val="none" w:sz="0" w:space="0" w:color="auto"/>
              </w:divBdr>
              <w:divsChild>
                <w:div w:id="1287397458">
                  <w:marLeft w:val="0"/>
                  <w:marRight w:val="0"/>
                  <w:marTop w:val="0"/>
                  <w:marBottom w:val="0"/>
                  <w:divBdr>
                    <w:top w:val="none" w:sz="0" w:space="0" w:color="auto"/>
                    <w:left w:val="none" w:sz="0" w:space="0" w:color="auto"/>
                    <w:bottom w:val="none" w:sz="0" w:space="0" w:color="auto"/>
                    <w:right w:val="none" w:sz="0" w:space="0" w:color="auto"/>
                  </w:divBdr>
                  <w:divsChild>
                    <w:div w:id="2839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119325">
      <w:bodyDiv w:val="1"/>
      <w:marLeft w:val="0"/>
      <w:marRight w:val="0"/>
      <w:marTop w:val="0"/>
      <w:marBottom w:val="0"/>
      <w:divBdr>
        <w:top w:val="none" w:sz="0" w:space="0" w:color="auto"/>
        <w:left w:val="none" w:sz="0" w:space="0" w:color="auto"/>
        <w:bottom w:val="none" w:sz="0" w:space="0" w:color="auto"/>
        <w:right w:val="none" w:sz="0" w:space="0" w:color="auto"/>
      </w:divBdr>
    </w:div>
    <w:div w:id="1457993063">
      <w:bodyDiv w:val="1"/>
      <w:marLeft w:val="0"/>
      <w:marRight w:val="0"/>
      <w:marTop w:val="0"/>
      <w:marBottom w:val="0"/>
      <w:divBdr>
        <w:top w:val="none" w:sz="0" w:space="0" w:color="auto"/>
        <w:left w:val="none" w:sz="0" w:space="0" w:color="auto"/>
        <w:bottom w:val="none" w:sz="0" w:space="0" w:color="auto"/>
        <w:right w:val="none" w:sz="0" w:space="0" w:color="auto"/>
      </w:divBdr>
    </w:div>
    <w:div w:id="1591429745">
      <w:bodyDiv w:val="1"/>
      <w:marLeft w:val="0"/>
      <w:marRight w:val="0"/>
      <w:marTop w:val="0"/>
      <w:marBottom w:val="0"/>
      <w:divBdr>
        <w:top w:val="none" w:sz="0" w:space="0" w:color="auto"/>
        <w:left w:val="none" w:sz="0" w:space="0" w:color="auto"/>
        <w:bottom w:val="none" w:sz="0" w:space="0" w:color="auto"/>
        <w:right w:val="none" w:sz="0" w:space="0" w:color="auto"/>
      </w:divBdr>
    </w:div>
    <w:div w:id="1701935791">
      <w:bodyDiv w:val="1"/>
      <w:marLeft w:val="0"/>
      <w:marRight w:val="0"/>
      <w:marTop w:val="0"/>
      <w:marBottom w:val="0"/>
      <w:divBdr>
        <w:top w:val="none" w:sz="0" w:space="0" w:color="auto"/>
        <w:left w:val="none" w:sz="0" w:space="0" w:color="auto"/>
        <w:bottom w:val="none" w:sz="0" w:space="0" w:color="auto"/>
        <w:right w:val="none" w:sz="0" w:space="0" w:color="auto"/>
      </w:divBdr>
    </w:div>
    <w:div w:id="1759592430">
      <w:bodyDiv w:val="1"/>
      <w:marLeft w:val="0"/>
      <w:marRight w:val="0"/>
      <w:marTop w:val="0"/>
      <w:marBottom w:val="0"/>
      <w:divBdr>
        <w:top w:val="none" w:sz="0" w:space="0" w:color="auto"/>
        <w:left w:val="none" w:sz="0" w:space="0" w:color="auto"/>
        <w:bottom w:val="none" w:sz="0" w:space="0" w:color="auto"/>
        <w:right w:val="none" w:sz="0" w:space="0" w:color="auto"/>
      </w:divBdr>
    </w:div>
    <w:div w:id="1796752891">
      <w:bodyDiv w:val="1"/>
      <w:marLeft w:val="0"/>
      <w:marRight w:val="0"/>
      <w:marTop w:val="0"/>
      <w:marBottom w:val="0"/>
      <w:divBdr>
        <w:top w:val="none" w:sz="0" w:space="0" w:color="auto"/>
        <w:left w:val="none" w:sz="0" w:space="0" w:color="auto"/>
        <w:bottom w:val="none" w:sz="0" w:space="0" w:color="auto"/>
        <w:right w:val="none" w:sz="0" w:space="0" w:color="auto"/>
      </w:divBdr>
    </w:div>
    <w:div w:id="1896312821">
      <w:bodyDiv w:val="1"/>
      <w:marLeft w:val="0"/>
      <w:marRight w:val="0"/>
      <w:marTop w:val="0"/>
      <w:marBottom w:val="0"/>
      <w:divBdr>
        <w:top w:val="none" w:sz="0" w:space="0" w:color="auto"/>
        <w:left w:val="none" w:sz="0" w:space="0" w:color="auto"/>
        <w:bottom w:val="none" w:sz="0" w:space="0" w:color="auto"/>
        <w:right w:val="none" w:sz="0" w:space="0" w:color="auto"/>
      </w:divBdr>
    </w:div>
    <w:div w:id="1952086642">
      <w:bodyDiv w:val="1"/>
      <w:marLeft w:val="0"/>
      <w:marRight w:val="0"/>
      <w:marTop w:val="0"/>
      <w:marBottom w:val="0"/>
      <w:divBdr>
        <w:top w:val="none" w:sz="0" w:space="0" w:color="auto"/>
        <w:left w:val="none" w:sz="0" w:space="0" w:color="auto"/>
        <w:bottom w:val="none" w:sz="0" w:space="0" w:color="auto"/>
        <w:right w:val="none" w:sz="0" w:space="0" w:color="auto"/>
      </w:divBdr>
    </w:div>
    <w:div w:id="1983145901">
      <w:bodyDiv w:val="1"/>
      <w:marLeft w:val="0"/>
      <w:marRight w:val="0"/>
      <w:marTop w:val="0"/>
      <w:marBottom w:val="0"/>
      <w:divBdr>
        <w:top w:val="none" w:sz="0" w:space="0" w:color="auto"/>
        <w:left w:val="none" w:sz="0" w:space="0" w:color="auto"/>
        <w:bottom w:val="none" w:sz="0" w:space="0" w:color="auto"/>
        <w:right w:val="none" w:sz="0" w:space="0" w:color="auto"/>
      </w:divBdr>
      <w:divsChild>
        <w:div w:id="392892607">
          <w:marLeft w:val="0"/>
          <w:marRight w:val="0"/>
          <w:marTop w:val="0"/>
          <w:marBottom w:val="0"/>
          <w:divBdr>
            <w:top w:val="none" w:sz="0" w:space="0" w:color="auto"/>
            <w:left w:val="none" w:sz="0" w:space="0" w:color="auto"/>
            <w:bottom w:val="none" w:sz="0" w:space="0" w:color="auto"/>
            <w:right w:val="none" w:sz="0" w:space="0" w:color="auto"/>
          </w:divBdr>
          <w:divsChild>
            <w:div w:id="1772048864">
              <w:marLeft w:val="0"/>
              <w:marRight w:val="0"/>
              <w:marTop w:val="0"/>
              <w:marBottom w:val="0"/>
              <w:divBdr>
                <w:top w:val="none" w:sz="0" w:space="0" w:color="auto"/>
                <w:left w:val="none" w:sz="0" w:space="0" w:color="auto"/>
                <w:bottom w:val="none" w:sz="0" w:space="0" w:color="auto"/>
                <w:right w:val="none" w:sz="0" w:space="0" w:color="auto"/>
              </w:divBdr>
              <w:divsChild>
                <w:div w:id="668019791">
                  <w:marLeft w:val="0"/>
                  <w:marRight w:val="0"/>
                  <w:marTop w:val="0"/>
                  <w:marBottom w:val="0"/>
                  <w:divBdr>
                    <w:top w:val="none" w:sz="0" w:space="0" w:color="auto"/>
                    <w:left w:val="none" w:sz="0" w:space="0" w:color="auto"/>
                    <w:bottom w:val="none" w:sz="0" w:space="0" w:color="auto"/>
                    <w:right w:val="none" w:sz="0" w:space="0" w:color="auto"/>
                  </w:divBdr>
                  <w:divsChild>
                    <w:div w:id="20380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teismai.lt/en/courts/judicial-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5B7241F08053743AF422281FBA693AD" ma:contentTypeVersion="14" ma:contentTypeDescription="Stvaranje novog dokumenta." ma:contentTypeScope="" ma:versionID="6a0d46a6bfbef01ad1eeb510d4e6383a">
  <xsd:schema xmlns:xsd="http://www.w3.org/2001/XMLSchema" xmlns:xs="http://www.w3.org/2001/XMLSchema" xmlns:p="http://schemas.microsoft.com/office/2006/metadata/properties" xmlns:ns3="e2e8a2f8-aed5-4d97-9eb6-8caf8e4e0834" xmlns:ns4="a477d5c9-a586-4fc7-850b-5e9920772b88" targetNamespace="http://schemas.microsoft.com/office/2006/metadata/properties" ma:root="true" ma:fieldsID="3a1cca3a73d60cda585afc403c9c327e" ns3:_="" ns4:_="">
    <xsd:import namespace="e2e8a2f8-aed5-4d97-9eb6-8caf8e4e0834"/>
    <xsd:import namespace="a477d5c9-a586-4fc7-850b-5e9920772b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8a2f8-aed5-4d97-9eb6-8caf8e4e083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77d5c9-a586-4fc7-850b-5e9920772b88"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element name="SharingHintHash" ma:index="20"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BD164-B1ED-40FF-AA3B-BFF7732C3A96}">
  <ds:schemaRefs>
    <ds:schemaRef ds:uri="http://schemas.openxmlformats.org/officeDocument/2006/bibliography"/>
  </ds:schemaRefs>
</ds:datastoreItem>
</file>

<file path=customXml/itemProps2.xml><?xml version="1.0" encoding="utf-8"?>
<ds:datastoreItem xmlns:ds="http://schemas.openxmlformats.org/officeDocument/2006/customXml" ds:itemID="{6F708F2A-C9BF-4FB9-AE5C-0EB0A8B84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58FE13-EEE3-4DB2-9DF0-8DEE627261D6}">
  <ds:schemaRefs>
    <ds:schemaRef ds:uri="http://schemas.microsoft.com/sharepoint/v3/contenttype/forms"/>
  </ds:schemaRefs>
</ds:datastoreItem>
</file>

<file path=customXml/itemProps4.xml><?xml version="1.0" encoding="utf-8"?>
<ds:datastoreItem xmlns:ds="http://schemas.openxmlformats.org/officeDocument/2006/customXml" ds:itemID="{7FB1E37E-4A35-4975-ADC1-D0DDFC689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e8a2f8-aed5-4d97-9eb6-8caf8e4e0834"/>
    <ds:schemaRef ds:uri="a477d5c9-a586-4fc7-850b-5e9920772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1689</TotalTime>
  <Pages>23</Pages>
  <Words>8748</Words>
  <Characters>49870</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Konstantina Kalaitsoglou</dc:creator>
  <cp:keywords/>
  <dc:description/>
  <cp:lastModifiedBy>Trimmings, Katarina</cp:lastModifiedBy>
  <cp:revision>80</cp:revision>
  <dcterms:created xsi:type="dcterms:W3CDTF">2022-06-30T17:07:00Z</dcterms:created>
  <dcterms:modified xsi:type="dcterms:W3CDTF">2024-11-28T10:38:00Z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0x01010045B7241F08053743AF422281FBA693AD</vt:lpwstr>
  </property>
  <property fmtid="{D5CDD505-2E9C-101B-9397-08002B2CF9AE}" pid="3" name="ZOTERO_PREF_1">
    <vt:lpwstr>&lt;data data-version="3" zotero-version="6.0.18"&gt;&lt;session id="C6qkMMZ2"/&gt;&lt;style id="http://www.zotero.org/styles/oscola" hasBibliography="1" bibliographyStyleHasBeenSet="0"/&gt;&lt;prefs&gt;&lt;pref name="fieldType" value="Field"/&gt;&lt;pref name="automaticJournalAbbreviati</vt:lpwstr>
  </property>
  <property fmtid="{D5CDD505-2E9C-101B-9397-08002B2CF9AE}" pid="4" name="ZOTERO_PREF_2">
    <vt:lpwstr>ons" value="true"/&gt;&lt;pref name="noteType" value="1"/&gt;&lt;/prefs&gt;&lt;/data&gt;</vt:lpwstr>
  </property>
</Properties>
</file>