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B2A13" w14:textId="77777777" w:rsidR="00431C12" w:rsidRDefault="00431C12" w:rsidP="00431C12">
      <w:pPr>
        <w:jc w:val="both"/>
        <w:rPr>
          <w:rFonts w:ascii="Times New Roman" w:hAnsi="Times New Roman" w:cs="Times New Roman"/>
          <w:b/>
          <w:bCs/>
          <w:sz w:val="40"/>
          <w:szCs w:val="40"/>
        </w:rPr>
      </w:pPr>
      <w:r>
        <w:rPr>
          <w:rFonts w:ascii="Times New Roman" w:hAnsi="Times New Roman" w:cs="Times New Roman"/>
          <w:b/>
          <w:bCs/>
          <w:noProof/>
          <w:sz w:val="40"/>
          <w:szCs w:val="40"/>
        </w:rPr>
        <w:drawing>
          <wp:inline distT="0" distB="0" distL="0" distR="0" wp14:anchorId="443711EE" wp14:editId="6F3610DA">
            <wp:extent cx="2758633" cy="558800"/>
            <wp:effectExtent l="0" t="0" r="3810" b="0"/>
            <wp:docPr id="1372865360"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865360" name="Picture 2" descr="A black and white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7474" cy="562617"/>
                    </a:xfrm>
                    <a:prstGeom prst="rect">
                      <a:avLst/>
                    </a:prstGeom>
                    <a:noFill/>
                  </pic:spPr>
                </pic:pic>
              </a:graphicData>
            </a:graphic>
          </wp:inline>
        </w:drawing>
      </w:r>
    </w:p>
    <w:p w14:paraId="2189F2DF" w14:textId="77777777" w:rsidR="00431C12" w:rsidRDefault="00431C12" w:rsidP="00431C12">
      <w:pPr>
        <w:jc w:val="both"/>
        <w:rPr>
          <w:rFonts w:ascii="Times New Roman" w:hAnsi="Times New Roman" w:cs="Times New Roman"/>
        </w:rPr>
      </w:pPr>
      <w:r>
        <w:rPr>
          <w:rFonts w:ascii="Times New Roman" w:hAnsi="Times New Roman" w:cs="Times New Roman"/>
        </w:rPr>
        <w:t xml:space="preserve">This </w:t>
      </w:r>
      <w:r w:rsidRPr="00D60F8C">
        <w:rPr>
          <w:rFonts w:ascii="Times New Roman" w:hAnsi="Times New Roman" w:cs="Times New Roman"/>
        </w:rPr>
        <w:t>research was</w:t>
      </w:r>
      <w:r>
        <w:rPr>
          <w:rFonts w:ascii="Times New Roman" w:hAnsi="Times New Roman" w:cs="Times New Roman"/>
        </w:rPr>
        <w:t xml:space="preserve"> </w:t>
      </w:r>
      <w:r w:rsidRPr="00D60F8C">
        <w:rPr>
          <w:rFonts w:ascii="Times New Roman" w:hAnsi="Times New Roman" w:cs="Times New Roman"/>
        </w:rPr>
        <w:t>supported by the RSE</w:t>
      </w:r>
      <w:r>
        <w:rPr>
          <w:rFonts w:ascii="Times New Roman" w:hAnsi="Times New Roman" w:cs="Times New Roman"/>
        </w:rPr>
        <w:t xml:space="preserve"> </w:t>
      </w:r>
      <w:r w:rsidRPr="00D565E4">
        <w:rPr>
          <w:rFonts w:ascii="Times New Roman" w:hAnsi="Times New Roman" w:cs="Times New Roman"/>
        </w:rPr>
        <w:t>Saltire Facilitation Network Award</w:t>
      </w:r>
      <w:r>
        <w:rPr>
          <w:rFonts w:ascii="Times New Roman" w:hAnsi="Times New Roman" w:cs="Times New Roman"/>
        </w:rPr>
        <w:t xml:space="preserve"> No 1924.</w:t>
      </w:r>
    </w:p>
    <w:p w14:paraId="5D3C592E" w14:textId="4305C6EA" w:rsidR="00431C12" w:rsidRDefault="00431C12" w:rsidP="00FD42C4">
      <w:pPr>
        <w:jc w:val="center"/>
        <w:rPr>
          <w:rFonts w:ascii="Times New Roman" w:hAnsi="Times New Roman" w:cs="Times New Roman"/>
          <w:b/>
          <w:bCs/>
          <w:sz w:val="40"/>
          <w:szCs w:val="40"/>
        </w:rPr>
      </w:pPr>
      <w:r>
        <w:rPr>
          <w:rFonts w:ascii="Times New Roman" w:hAnsi="Times New Roman" w:cs="Times New Roman"/>
          <w:b/>
          <w:bCs/>
          <w:sz w:val="40"/>
          <w:szCs w:val="40"/>
        </w:rPr>
        <w:t>National Report: Ireland</w:t>
      </w:r>
    </w:p>
    <w:p w14:paraId="4E8D3A2A" w14:textId="7FCFAD68" w:rsidR="00EE2DF1" w:rsidRPr="003F1C58" w:rsidRDefault="00586FBA" w:rsidP="008A76E4">
      <w:pPr>
        <w:jc w:val="both"/>
        <w:rPr>
          <w:rFonts w:ascii="Times New Roman" w:hAnsi="Times New Roman" w:cs="Times New Roman"/>
          <w:b/>
          <w:bCs/>
          <w:sz w:val="40"/>
          <w:szCs w:val="40"/>
        </w:rPr>
      </w:pPr>
      <w:r>
        <w:rPr>
          <w:rFonts w:ascii="Times New Roman" w:hAnsi="Times New Roman" w:cs="Times New Roman"/>
          <w:b/>
          <w:bCs/>
          <w:sz w:val="40"/>
          <w:szCs w:val="40"/>
        </w:rPr>
        <w:t>Guidance Note for the Preparation of National Reports</w:t>
      </w:r>
    </w:p>
    <w:p w14:paraId="55273001" w14:textId="77777777" w:rsidR="00EE2DF1" w:rsidRPr="003F1C58" w:rsidRDefault="00EE2DF1" w:rsidP="008A76E4">
      <w:pPr>
        <w:jc w:val="both"/>
        <w:rPr>
          <w:rFonts w:ascii="Times New Roman" w:hAnsi="Times New Roman" w:cs="Times New Roman"/>
        </w:rPr>
      </w:pPr>
      <w:r w:rsidRPr="003F1C58">
        <w:rPr>
          <w:rFonts w:ascii="Times New Roman" w:hAnsi="Times New Roman" w:cs="Times New Roman"/>
          <w:b/>
          <w:bCs/>
        </w:rPr>
        <w:t>Research Project:</w:t>
      </w:r>
      <w:r w:rsidRPr="003F1C58">
        <w:rPr>
          <w:rFonts w:ascii="Times New Roman" w:hAnsi="Times New Roman" w:cs="Times New Roman"/>
        </w:rPr>
        <w:t xml:space="preserve"> Protection of international families with links to the European Union post-Brexit: Collaborative Scotland-EU partnership </w:t>
      </w:r>
    </w:p>
    <w:p w14:paraId="5B696D0E" w14:textId="382EC828" w:rsidR="00EE2DF1" w:rsidRDefault="00EE2DF1" w:rsidP="008A76E4">
      <w:pPr>
        <w:jc w:val="both"/>
        <w:rPr>
          <w:rFonts w:ascii="Times New Roman" w:hAnsi="Times New Roman" w:cs="Times New Roman"/>
        </w:rPr>
      </w:pPr>
      <w:r w:rsidRPr="003F1C58">
        <w:rPr>
          <w:rFonts w:ascii="Times New Roman" w:hAnsi="Times New Roman" w:cs="Times New Roman"/>
          <w:b/>
          <w:bCs/>
        </w:rPr>
        <w:t>Summary:</w:t>
      </w:r>
      <w:r w:rsidRPr="003F1C58">
        <w:rPr>
          <w:rFonts w:ascii="Times New Roman" w:hAnsi="Times New Roman" w:cs="Times New Roman"/>
        </w:rPr>
        <w:t xml:space="preserve"> The free movement of people within the EU has resulted in several generations of European citizens forming family relationships across national borders. As a result, there are thousands of families in Scotland whose lives, homes and occupations cross European borders. Similarly, there are many families with connections to Scotland living in the EU. This project seeks to address the legal issues that surround the protection of such international families. It aims to examine the effectiveness of the pertinent post-Brexit legal framework, which no longer comprises European private international law instruments but instead is represented primarily by international Conventions (‘Hague Family Law Conventions’). To this end, the project seeks to enhance collaboration between Scotland and EU Member States in protecting international families in the wake of Brexit; identify good practices in applying the Hague Family Law Conventions; and make recommendations to legal practitioners, judges, Central Authorities and national legislators.</w:t>
      </w:r>
    </w:p>
    <w:p w14:paraId="75C1658B" w14:textId="63BE5735" w:rsidR="003F1C58" w:rsidRDefault="003F1C58" w:rsidP="008A76E4">
      <w:pPr>
        <w:jc w:val="both"/>
        <w:rPr>
          <w:rFonts w:ascii="Times New Roman" w:hAnsi="Times New Roman" w:cs="Times New Roman"/>
        </w:rPr>
      </w:pPr>
      <w:r w:rsidRPr="00F855CF">
        <w:rPr>
          <w:rFonts w:ascii="Times New Roman" w:hAnsi="Times New Roman" w:cs="Times New Roman"/>
          <w:b/>
          <w:bCs/>
        </w:rPr>
        <w:t>Primary Investigator:</w:t>
      </w:r>
      <w:r>
        <w:rPr>
          <w:rFonts w:ascii="Times New Roman" w:hAnsi="Times New Roman" w:cs="Times New Roman"/>
        </w:rPr>
        <w:t xml:space="preserve"> Dr Katarina Trimmings, Senior Lecturer at the University of Aberdeen </w:t>
      </w:r>
    </w:p>
    <w:p w14:paraId="39984093" w14:textId="4972E11D" w:rsidR="003F1C58" w:rsidRPr="003F1C58" w:rsidRDefault="003F1C58" w:rsidP="008A76E4">
      <w:pPr>
        <w:jc w:val="both"/>
        <w:rPr>
          <w:rFonts w:ascii="Times New Roman" w:hAnsi="Times New Roman" w:cs="Times New Roman"/>
        </w:rPr>
      </w:pPr>
      <w:r w:rsidRPr="00F855CF">
        <w:rPr>
          <w:rFonts w:ascii="Times New Roman" w:hAnsi="Times New Roman" w:cs="Times New Roman"/>
          <w:b/>
          <w:bCs/>
        </w:rPr>
        <w:t>Co-Investigators:</w:t>
      </w:r>
      <w:r>
        <w:rPr>
          <w:rFonts w:ascii="Times New Roman" w:hAnsi="Times New Roman" w:cs="Times New Roman"/>
        </w:rPr>
        <w:t xml:space="preserve"> Prof. Thalia Kruger</w:t>
      </w:r>
      <w:r w:rsidR="00E465ED">
        <w:rPr>
          <w:rFonts w:ascii="Times New Roman" w:hAnsi="Times New Roman" w:cs="Times New Roman"/>
        </w:rPr>
        <w:t xml:space="preserve"> (Belgium)</w:t>
      </w:r>
      <w:r>
        <w:rPr>
          <w:rFonts w:ascii="Times New Roman" w:hAnsi="Times New Roman" w:cs="Times New Roman"/>
        </w:rPr>
        <w:t xml:space="preserve">, Prof. Mirela </w:t>
      </w:r>
      <w:r w:rsidRPr="003F1C58">
        <w:rPr>
          <w:rFonts w:ascii="Times New Roman" w:hAnsi="Times New Roman" w:cs="Times New Roman"/>
        </w:rPr>
        <w:t>Župan</w:t>
      </w:r>
      <w:r w:rsidR="00E465ED">
        <w:rPr>
          <w:rFonts w:ascii="Times New Roman" w:hAnsi="Times New Roman" w:cs="Times New Roman"/>
        </w:rPr>
        <w:t xml:space="preserve"> (Croatia)</w:t>
      </w:r>
      <w:r w:rsidR="005A60C9">
        <w:rPr>
          <w:rFonts w:ascii="Times New Roman" w:hAnsi="Times New Roman" w:cs="Times New Roman"/>
        </w:rPr>
        <w:t xml:space="preserve"> / </w:t>
      </w:r>
      <w:r w:rsidR="005A60C9" w:rsidRPr="007D7E71">
        <w:rPr>
          <w:rFonts w:ascii="Times New Roman" w:hAnsi="Times New Roman" w:cs="Times New Roman"/>
          <w:b/>
          <w:bCs/>
        </w:rPr>
        <w:t>Network Partners</w:t>
      </w:r>
      <w:r w:rsidR="005A60C9">
        <w:rPr>
          <w:rFonts w:ascii="Times New Roman" w:hAnsi="Times New Roman" w:cs="Times New Roman"/>
        </w:rPr>
        <w:t xml:space="preserve">: </w:t>
      </w:r>
      <w:r w:rsidR="00E465ED" w:rsidRPr="00E465ED">
        <w:rPr>
          <w:rFonts w:ascii="Times New Roman" w:hAnsi="Times New Roman" w:cs="Times New Roman"/>
        </w:rPr>
        <w:t xml:space="preserve">Professor Pietro </w:t>
      </w:r>
      <w:proofErr w:type="spellStart"/>
      <w:r w:rsidR="00E465ED" w:rsidRPr="00E465ED">
        <w:rPr>
          <w:rFonts w:ascii="Times New Roman" w:hAnsi="Times New Roman" w:cs="Times New Roman"/>
        </w:rPr>
        <w:t>Franzina</w:t>
      </w:r>
      <w:proofErr w:type="spellEnd"/>
      <w:r w:rsidR="00E465ED" w:rsidRPr="00E465ED">
        <w:rPr>
          <w:rFonts w:ascii="Times New Roman" w:hAnsi="Times New Roman" w:cs="Times New Roman"/>
        </w:rPr>
        <w:t xml:space="preserve"> (Italy), Professor Máire Ní </w:t>
      </w:r>
      <w:proofErr w:type="spellStart"/>
      <w:r w:rsidR="00E465ED" w:rsidRPr="00E465ED">
        <w:rPr>
          <w:rFonts w:ascii="Times New Roman" w:hAnsi="Times New Roman" w:cs="Times New Roman"/>
        </w:rPr>
        <w:t>Shúilleabháin</w:t>
      </w:r>
      <w:proofErr w:type="spellEnd"/>
      <w:r w:rsidR="00E465ED" w:rsidRPr="00E465ED">
        <w:rPr>
          <w:rFonts w:ascii="Times New Roman" w:hAnsi="Times New Roman" w:cs="Times New Roman"/>
        </w:rPr>
        <w:t xml:space="preserve"> (Ireland), Dr Anna Wysocka-Bar (Poland) and Dr Agne </w:t>
      </w:r>
      <w:proofErr w:type="spellStart"/>
      <w:r w:rsidR="00E465ED" w:rsidRPr="00E465ED">
        <w:rPr>
          <w:rFonts w:ascii="Times New Roman" w:hAnsi="Times New Roman" w:cs="Times New Roman"/>
        </w:rPr>
        <w:t>Limante</w:t>
      </w:r>
      <w:proofErr w:type="spellEnd"/>
      <w:r w:rsidR="00E465ED" w:rsidRPr="00E465ED">
        <w:rPr>
          <w:rFonts w:ascii="Times New Roman" w:hAnsi="Times New Roman" w:cs="Times New Roman"/>
        </w:rPr>
        <w:t xml:space="preserve"> (Lithuania).</w:t>
      </w:r>
    </w:p>
    <w:p w14:paraId="7D436241" w14:textId="5732E209" w:rsidR="00EE2DF1" w:rsidRPr="003F1C58" w:rsidRDefault="00F408AF" w:rsidP="008A76E4">
      <w:pPr>
        <w:jc w:val="both"/>
        <w:rPr>
          <w:rFonts w:ascii="Times New Roman" w:hAnsi="Times New Roman" w:cs="Times New Roman"/>
          <w:b/>
          <w:bCs/>
        </w:rPr>
      </w:pPr>
      <w:r w:rsidRPr="003F1C58">
        <w:rPr>
          <w:rFonts w:ascii="Times New Roman" w:hAnsi="Times New Roman" w:cs="Times New Roman"/>
          <w:b/>
          <w:bCs/>
        </w:rPr>
        <w:t>Note</w:t>
      </w:r>
      <w:r w:rsidR="00E465ED">
        <w:rPr>
          <w:rFonts w:ascii="Times New Roman" w:hAnsi="Times New Roman" w:cs="Times New Roman"/>
          <w:b/>
          <w:bCs/>
        </w:rPr>
        <w:t>:</w:t>
      </w:r>
    </w:p>
    <w:p w14:paraId="35552F4A" w14:textId="1FF66D95" w:rsidR="004942CE" w:rsidRPr="003F1C58" w:rsidRDefault="00E465ED" w:rsidP="008A76E4">
      <w:pPr>
        <w:jc w:val="both"/>
        <w:rPr>
          <w:rFonts w:ascii="Times New Roman" w:hAnsi="Times New Roman" w:cs="Times New Roman"/>
        </w:rPr>
      </w:pPr>
      <w:r>
        <w:rPr>
          <w:rFonts w:ascii="Times New Roman" w:hAnsi="Times New Roman" w:cs="Times New Roman"/>
        </w:rPr>
        <w:t>This Guidance Note</w:t>
      </w:r>
      <w:r w:rsidR="004942CE" w:rsidRPr="003F1C58">
        <w:rPr>
          <w:rFonts w:ascii="Times New Roman" w:hAnsi="Times New Roman" w:cs="Times New Roman"/>
        </w:rPr>
        <w:t xml:space="preserve"> is organised in</w:t>
      </w:r>
      <w:r w:rsidR="00F855CF">
        <w:rPr>
          <w:rFonts w:ascii="Times New Roman" w:hAnsi="Times New Roman" w:cs="Times New Roman"/>
        </w:rPr>
        <w:t>to</w:t>
      </w:r>
      <w:r w:rsidR="004942CE" w:rsidRPr="003F1C58">
        <w:rPr>
          <w:rFonts w:ascii="Times New Roman" w:hAnsi="Times New Roman" w:cs="Times New Roman"/>
        </w:rPr>
        <w:t xml:space="preserve"> five sections that mirror five important international Hague Conventions</w:t>
      </w:r>
      <w:r w:rsidR="00F408AF" w:rsidRPr="003F1C58">
        <w:rPr>
          <w:rFonts w:ascii="Times New Roman" w:hAnsi="Times New Roman" w:cs="Times New Roman"/>
        </w:rPr>
        <w:t>, which will be researched in this project</w:t>
      </w:r>
      <w:r w:rsidR="004942CE" w:rsidRPr="003F1C58">
        <w:rPr>
          <w:rFonts w:ascii="Times New Roman" w:hAnsi="Times New Roman" w:cs="Times New Roman"/>
        </w:rPr>
        <w:t>:</w:t>
      </w:r>
    </w:p>
    <w:p w14:paraId="34C82A67" w14:textId="25080BAF" w:rsidR="004942CE" w:rsidRPr="003F1C58" w:rsidRDefault="004942CE" w:rsidP="008A76E4">
      <w:pPr>
        <w:pStyle w:val="ListParagraph"/>
        <w:numPr>
          <w:ilvl w:val="0"/>
          <w:numId w:val="16"/>
        </w:numPr>
        <w:jc w:val="both"/>
        <w:rPr>
          <w:rFonts w:ascii="Times New Roman" w:hAnsi="Times New Roman" w:cs="Times New Roman"/>
        </w:rPr>
      </w:pPr>
      <w:r w:rsidRPr="003F1C58">
        <w:rPr>
          <w:rFonts w:ascii="Times New Roman" w:hAnsi="Times New Roman" w:cs="Times New Roman"/>
        </w:rPr>
        <w:t>Convention of 25 October 1980 on the Civil Aspects of International Child Abduction</w:t>
      </w:r>
    </w:p>
    <w:p w14:paraId="0DFE6B6E" w14:textId="02A296F8" w:rsidR="004942CE" w:rsidRPr="003F1C58" w:rsidRDefault="004942CE" w:rsidP="008A76E4">
      <w:pPr>
        <w:pStyle w:val="ListParagraph"/>
        <w:numPr>
          <w:ilvl w:val="0"/>
          <w:numId w:val="16"/>
        </w:numPr>
        <w:jc w:val="both"/>
        <w:rPr>
          <w:rFonts w:ascii="Times New Roman" w:hAnsi="Times New Roman" w:cs="Times New Roman"/>
        </w:rPr>
      </w:pPr>
      <w:r w:rsidRPr="003F1C58">
        <w:rPr>
          <w:rFonts w:ascii="Times New Roman" w:hAnsi="Times New Roman" w:cs="Times New Roman"/>
        </w:rPr>
        <w:t>Convention of 19 October 1996 on Jurisdiction, Applicable Law, Recognition, Enforcement and Co-operation in Respect of Parental Responsibility and Measures for the Protection of Children</w:t>
      </w:r>
    </w:p>
    <w:p w14:paraId="3EB2B9D6" w14:textId="5AD95D6C" w:rsidR="004942CE" w:rsidRPr="003F1C58" w:rsidRDefault="004942CE" w:rsidP="008A76E4">
      <w:pPr>
        <w:pStyle w:val="ListParagraph"/>
        <w:numPr>
          <w:ilvl w:val="0"/>
          <w:numId w:val="16"/>
        </w:numPr>
        <w:jc w:val="both"/>
        <w:rPr>
          <w:rFonts w:ascii="Times New Roman" w:hAnsi="Times New Roman" w:cs="Times New Roman"/>
        </w:rPr>
      </w:pPr>
      <w:r w:rsidRPr="003F1C58">
        <w:rPr>
          <w:rFonts w:ascii="Times New Roman" w:hAnsi="Times New Roman" w:cs="Times New Roman"/>
        </w:rPr>
        <w:t>Convention of 1 June 1970 on the Recognition of Divorces and Legal Separations</w:t>
      </w:r>
    </w:p>
    <w:p w14:paraId="5FE1D85E" w14:textId="5ABA7376" w:rsidR="004942CE" w:rsidRPr="003F1C58" w:rsidRDefault="004942CE" w:rsidP="008A76E4">
      <w:pPr>
        <w:pStyle w:val="ListParagraph"/>
        <w:numPr>
          <w:ilvl w:val="0"/>
          <w:numId w:val="16"/>
        </w:numPr>
        <w:jc w:val="both"/>
        <w:rPr>
          <w:rFonts w:ascii="Times New Roman" w:hAnsi="Times New Roman" w:cs="Times New Roman"/>
        </w:rPr>
      </w:pPr>
      <w:r w:rsidRPr="003F1C58">
        <w:rPr>
          <w:rFonts w:ascii="Times New Roman" w:hAnsi="Times New Roman" w:cs="Times New Roman"/>
        </w:rPr>
        <w:t>Convention of 23 November 2007 on the International Recovery of Child Support and Other Forms of Family Maintenance</w:t>
      </w:r>
    </w:p>
    <w:p w14:paraId="3DEC531E" w14:textId="09832B88" w:rsidR="004942CE" w:rsidRPr="003F1C58" w:rsidRDefault="004942CE" w:rsidP="008A76E4">
      <w:pPr>
        <w:pStyle w:val="ListParagraph"/>
        <w:numPr>
          <w:ilvl w:val="0"/>
          <w:numId w:val="16"/>
        </w:numPr>
        <w:jc w:val="both"/>
        <w:rPr>
          <w:rFonts w:ascii="Times New Roman" w:hAnsi="Times New Roman" w:cs="Times New Roman"/>
        </w:rPr>
      </w:pPr>
      <w:r w:rsidRPr="003F1C58">
        <w:rPr>
          <w:rFonts w:ascii="Times New Roman" w:hAnsi="Times New Roman" w:cs="Times New Roman"/>
        </w:rPr>
        <w:t>Convention of 13 January 2000 on the International Protection of Adults</w:t>
      </w:r>
    </w:p>
    <w:p w14:paraId="19EF6F7B" w14:textId="3A065B30" w:rsidR="00283BCB" w:rsidRDefault="00E465ED" w:rsidP="008A76E4">
      <w:pPr>
        <w:jc w:val="both"/>
        <w:rPr>
          <w:rFonts w:ascii="Times New Roman" w:hAnsi="Times New Roman" w:cs="Times New Roman"/>
        </w:rPr>
      </w:pPr>
      <w:r>
        <w:rPr>
          <w:rFonts w:ascii="Times New Roman" w:hAnsi="Times New Roman" w:cs="Times New Roman"/>
        </w:rPr>
        <w:t xml:space="preserve">If either of the Conventions is not applicable to your jurisdiction, please briefly indicate so in your Report. </w:t>
      </w:r>
      <w:r w:rsidR="000E62DF">
        <w:rPr>
          <w:rFonts w:ascii="Times New Roman" w:hAnsi="Times New Roman" w:cs="Times New Roman"/>
        </w:rPr>
        <w:t xml:space="preserve">The below points are intended to </w:t>
      </w:r>
      <w:r w:rsidR="00C42939">
        <w:rPr>
          <w:rFonts w:ascii="Times New Roman" w:hAnsi="Times New Roman" w:cs="Times New Roman"/>
        </w:rPr>
        <w:t>be for</w:t>
      </w:r>
      <w:r w:rsidR="00E6335C">
        <w:rPr>
          <w:rFonts w:ascii="Times New Roman" w:hAnsi="Times New Roman" w:cs="Times New Roman"/>
        </w:rPr>
        <w:t xml:space="preserve"> </w:t>
      </w:r>
      <w:r w:rsidR="000E62DF">
        <w:rPr>
          <w:rFonts w:ascii="Times New Roman" w:hAnsi="Times New Roman" w:cs="Times New Roman"/>
        </w:rPr>
        <w:t>guidance only; therefore</w:t>
      </w:r>
      <w:r w:rsidR="00DA5030">
        <w:rPr>
          <w:rFonts w:ascii="Times New Roman" w:hAnsi="Times New Roman" w:cs="Times New Roman"/>
        </w:rPr>
        <w:t>,</w:t>
      </w:r>
      <w:r w:rsidR="000E62DF">
        <w:rPr>
          <w:rFonts w:ascii="Times New Roman" w:hAnsi="Times New Roman" w:cs="Times New Roman"/>
        </w:rPr>
        <w:t xml:space="preserve"> please feel free to include any additional information as you see fit.</w:t>
      </w:r>
      <w:r w:rsidR="00DA5030">
        <w:rPr>
          <w:rFonts w:ascii="Times New Roman" w:hAnsi="Times New Roman" w:cs="Times New Roman"/>
        </w:rPr>
        <w:t xml:space="preserve"> </w:t>
      </w:r>
    </w:p>
    <w:p w14:paraId="39B1D383" w14:textId="2A8A6272" w:rsidR="00F855CF" w:rsidRDefault="00DA5030" w:rsidP="008A76E4">
      <w:pPr>
        <w:jc w:val="both"/>
        <w:rPr>
          <w:rFonts w:ascii="Times New Roman" w:hAnsi="Times New Roman" w:cs="Times New Roman"/>
        </w:rPr>
      </w:pPr>
      <w:r>
        <w:rPr>
          <w:rFonts w:ascii="Times New Roman" w:hAnsi="Times New Roman" w:cs="Times New Roman"/>
        </w:rPr>
        <w:t>In your analysis, p</w:t>
      </w:r>
      <w:r w:rsidRPr="003F1C58">
        <w:rPr>
          <w:rFonts w:ascii="Times New Roman" w:hAnsi="Times New Roman" w:cs="Times New Roman"/>
        </w:rPr>
        <w:t xml:space="preserve">lease </w:t>
      </w:r>
      <w:r>
        <w:rPr>
          <w:rFonts w:ascii="Times New Roman" w:hAnsi="Times New Roman" w:cs="Times New Roman"/>
        </w:rPr>
        <w:t xml:space="preserve">include relevant secondary and primary sources, including case-law, </w:t>
      </w:r>
      <w:r w:rsidR="00C42939">
        <w:rPr>
          <w:rFonts w:ascii="Times New Roman" w:hAnsi="Times New Roman" w:cs="Times New Roman"/>
        </w:rPr>
        <w:t>as</w:t>
      </w:r>
      <w:r>
        <w:rPr>
          <w:rFonts w:ascii="Times New Roman" w:hAnsi="Times New Roman" w:cs="Times New Roman"/>
        </w:rPr>
        <w:t xml:space="preserve"> </w:t>
      </w:r>
      <w:r w:rsidR="00E6335C">
        <w:rPr>
          <w:rFonts w:ascii="Times New Roman" w:hAnsi="Times New Roman" w:cs="Times New Roman"/>
        </w:rPr>
        <w:t>available to you.</w:t>
      </w:r>
      <w:r w:rsidR="009736E4">
        <w:rPr>
          <w:rFonts w:ascii="Times New Roman" w:hAnsi="Times New Roman" w:cs="Times New Roman"/>
        </w:rPr>
        <w:t xml:space="preserve"> If you are intending to speak to judges, etc. or </w:t>
      </w:r>
      <w:r w:rsidR="00C42939">
        <w:rPr>
          <w:rFonts w:ascii="Times New Roman" w:hAnsi="Times New Roman" w:cs="Times New Roman"/>
        </w:rPr>
        <w:t xml:space="preserve">planning to </w:t>
      </w:r>
      <w:r w:rsidR="009736E4">
        <w:rPr>
          <w:rFonts w:ascii="Times New Roman" w:hAnsi="Times New Roman" w:cs="Times New Roman"/>
        </w:rPr>
        <w:t>organise a</w:t>
      </w:r>
      <w:r w:rsidR="00C42939">
        <w:rPr>
          <w:rFonts w:ascii="Times New Roman" w:hAnsi="Times New Roman" w:cs="Times New Roman"/>
        </w:rPr>
        <w:t>/an (</w:t>
      </w:r>
      <w:r w:rsidR="009736E4">
        <w:rPr>
          <w:rFonts w:ascii="Times New Roman" w:hAnsi="Times New Roman" w:cs="Times New Roman"/>
        </w:rPr>
        <w:t>online</w:t>
      </w:r>
      <w:r w:rsidR="00C42939">
        <w:rPr>
          <w:rFonts w:ascii="Times New Roman" w:hAnsi="Times New Roman" w:cs="Times New Roman"/>
        </w:rPr>
        <w:t>)</w:t>
      </w:r>
      <w:r w:rsidR="009736E4">
        <w:rPr>
          <w:rFonts w:ascii="Times New Roman" w:hAnsi="Times New Roman" w:cs="Times New Roman"/>
        </w:rPr>
        <w:t xml:space="preserve"> </w:t>
      </w:r>
      <w:r w:rsidR="009736E4">
        <w:rPr>
          <w:rFonts w:ascii="Times New Roman" w:hAnsi="Times New Roman" w:cs="Times New Roman"/>
        </w:rPr>
        <w:lastRenderedPageBreak/>
        <w:t xml:space="preserve">workshop to collect relevant </w:t>
      </w:r>
      <w:r w:rsidR="00C42939">
        <w:rPr>
          <w:rFonts w:ascii="Times New Roman" w:hAnsi="Times New Roman" w:cs="Times New Roman"/>
        </w:rPr>
        <w:t>information</w:t>
      </w:r>
      <w:r w:rsidR="009736E4">
        <w:rPr>
          <w:rFonts w:ascii="Times New Roman" w:hAnsi="Times New Roman" w:cs="Times New Roman"/>
        </w:rPr>
        <w:t>, in particular case-law, please let us know so that instructions concerning research ethics</w:t>
      </w:r>
      <w:r w:rsidR="00C42939">
        <w:rPr>
          <w:rFonts w:ascii="Times New Roman" w:hAnsi="Times New Roman" w:cs="Times New Roman"/>
        </w:rPr>
        <w:t>, as approved by the University of Aberdeen</w:t>
      </w:r>
      <w:r w:rsidR="008C268B">
        <w:rPr>
          <w:rFonts w:ascii="Times New Roman" w:hAnsi="Times New Roman" w:cs="Times New Roman"/>
        </w:rPr>
        <w:t>,</w:t>
      </w:r>
      <w:r w:rsidR="00C42939">
        <w:rPr>
          <w:rFonts w:ascii="Times New Roman" w:hAnsi="Times New Roman" w:cs="Times New Roman"/>
        </w:rPr>
        <w:t xml:space="preserve"> </w:t>
      </w:r>
      <w:r w:rsidR="009736E4">
        <w:rPr>
          <w:rFonts w:ascii="Times New Roman" w:hAnsi="Times New Roman" w:cs="Times New Roman"/>
        </w:rPr>
        <w:t xml:space="preserve">can be provided. </w:t>
      </w:r>
    </w:p>
    <w:p w14:paraId="4CFB1B03" w14:textId="391CEC1E" w:rsidR="00003790" w:rsidRPr="003F1C58" w:rsidRDefault="00283BCB" w:rsidP="008A76E4">
      <w:pPr>
        <w:jc w:val="both"/>
        <w:rPr>
          <w:rFonts w:ascii="Times New Roman" w:hAnsi="Times New Roman" w:cs="Times New Roman"/>
        </w:rPr>
      </w:pPr>
      <w:r>
        <w:rPr>
          <w:rFonts w:ascii="Times New Roman" w:hAnsi="Times New Roman" w:cs="Times New Roman"/>
        </w:rPr>
        <w:t>We</w:t>
      </w:r>
      <w:r w:rsidR="00003790" w:rsidRPr="003F1C58">
        <w:rPr>
          <w:rFonts w:ascii="Times New Roman" w:hAnsi="Times New Roman" w:cs="Times New Roman"/>
        </w:rPr>
        <w:t xml:space="preserve"> are particularly interested in your comments on how the issues in question are approached differently (if at all) in your specific jurisdiction. </w:t>
      </w:r>
    </w:p>
    <w:p w14:paraId="59BD1BA9" w14:textId="77FB6FFD" w:rsidR="00F408AF" w:rsidRDefault="00F408AF" w:rsidP="008A76E4">
      <w:pPr>
        <w:jc w:val="both"/>
        <w:rPr>
          <w:rFonts w:ascii="Times New Roman" w:hAnsi="Times New Roman" w:cs="Times New Roman"/>
        </w:rPr>
      </w:pPr>
      <w:r w:rsidRPr="003F1C58">
        <w:rPr>
          <w:rFonts w:ascii="Times New Roman" w:hAnsi="Times New Roman" w:cs="Times New Roman"/>
        </w:rPr>
        <w:t xml:space="preserve">Thank you very much in advance for your </w:t>
      </w:r>
      <w:r w:rsidR="00C42939">
        <w:rPr>
          <w:rFonts w:ascii="Times New Roman" w:hAnsi="Times New Roman" w:cs="Times New Roman"/>
        </w:rPr>
        <w:t>work on the National Report</w:t>
      </w:r>
      <w:r w:rsidR="000508F4">
        <w:rPr>
          <w:rFonts w:ascii="Times New Roman" w:hAnsi="Times New Roman" w:cs="Times New Roman"/>
        </w:rPr>
        <w:t>!</w:t>
      </w:r>
    </w:p>
    <w:p w14:paraId="002DD206" w14:textId="0404272A" w:rsidR="00F408AF" w:rsidRDefault="00F408AF" w:rsidP="008A76E4">
      <w:pPr>
        <w:pBdr>
          <w:bottom w:val="single" w:sz="6" w:space="1" w:color="auto"/>
        </w:pBdr>
        <w:jc w:val="both"/>
        <w:rPr>
          <w:rFonts w:ascii="Times New Roman" w:hAnsi="Times New Roman" w:cs="Times New Roman"/>
        </w:rPr>
      </w:pPr>
    </w:p>
    <w:p w14:paraId="2E5F1940" w14:textId="77777777" w:rsidR="000508F4" w:rsidRPr="003F1C58" w:rsidRDefault="000508F4" w:rsidP="008A76E4">
      <w:pPr>
        <w:pBdr>
          <w:bottom w:val="single" w:sz="6" w:space="1" w:color="auto"/>
        </w:pBdr>
        <w:jc w:val="both"/>
        <w:rPr>
          <w:rFonts w:ascii="Times New Roman" w:hAnsi="Times New Roman" w:cs="Times New Roman"/>
        </w:rPr>
      </w:pPr>
    </w:p>
    <w:p w14:paraId="298B8664" w14:textId="77777777" w:rsidR="00411A3C" w:rsidRPr="00D063EA" w:rsidRDefault="00411A3C" w:rsidP="00D063EA">
      <w:pPr>
        <w:jc w:val="both"/>
        <w:rPr>
          <w:rFonts w:ascii="Times New Roman" w:hAnsi="Times New Roman" w:cs="Times New Roman"/>
        </w:rPr>
      </w:pPr>
    </w:p>
    <w:p w14:paraId="06600F04" w14:textId="5547ADCF" w:rsidR="00D063EA" w:rsidRDefault="00D063EA" w:rsidP="008A76E4">
      <w:pPr>
        <w:pStyle w:val="Heading2"/>
        <w:numPr>
          <w:ilvl w:val="0"/>
          <w:numId w:val="6"/>
        </w:numPr>
        <w:jc w:val="both"/>
        <w:rPr>
          <w:rFonts w:ascii="Times New Roman" w:hAnsi="Times New Roman" w:cs="Times New Roman"/>
          <w:b/>
          <w:bCs/>
          <w:sz w:val="24"/>
          <w:szCs w:val="24"/>
        </w:rPr>
      </w:pPr>
      <w:r>
        <w:rPr>
          <w:rFonts w:ascii="Times New Roman" w:hAnsi="Times New Roman" w:cs="Times New Roman"/>
          <w:b/>
          <w:bCs/>
          <w:sz w:val="24"/>
          <w:szCs w:val="24"/>
        </w:rPr>
        <w:t>General questions</w:t>
      </w:r>
    </w:p>
    <w:p w14:paraId="39E3B258" w14:textId="6F3DB322" w:rsidR="00D063EA" w:rsidRDefault="00D063EA" w:rsidP="00D063EA"/>
    <w:p w14:paraId="2D0DFF09" w14:textId="3127F286" w:rsidR="00D063EA" w:rsidRDefault="00D063EA" w:rsidP="00D063EA">
      <w:pPr>
        <w:pStyle w:val="ListParagraph"/>
        <w:numPr>
          <w:ilvl w:val="0"/>
          <w:numId w:val="19"/>
        </w:numPr>
        <w:jc w:val="both"/>
        <w:rPr>
          <w:rFonts w:ascii="Times New Roman" w:hAnsi="Times New Roman" w:cs="Times New Roman"/>
          <w:sz w:val="24"/>
          <w:szCs w:val="24"/>
        </w:rPr>
      </w:pPr>
      <w:r w:rsidRPr="00D063EA">
        <w:rPr>
          <w:rFonts w:ascii="Times New Roman" w:hAnsi="Times New Roman" w:cs="Times New Roman"/>
          <w:sz w:val="24"/>
          <w:szCs w:val="24"/>
        </w:rPr>
        <w:t>Are there any data available in your jurisdiction on the number of international family cases involving EU Members States and international family law cases involving third States?</w:t>
      </w:r>
      <w:r w:rsidR="00AB57F5">
        <w:rPr>
          <w:rFonts w:ascii="Times New Roman" w:hAnsi="Times New Roman" w:cs="Times New Roman"/>
          <w:sz w:val="24"/>
          <w:szCs w:val="24"/>
        </w:rPr>
        <w:t xml:space="preserve"> If so, please briefly outline the data.</w:t>
      </w:r>
    </w:p>
    <w:p w14:paraId="23AE2D08" w14:textId="1F0BBC56" w:rsidR="00746504" w:rsidRPr="00746504" w:rsidRDefault="00746504" w:rsidP="00746504">
      <w:pPr>
        <w:jc w:val="both"/>
        <w:rPr>
          <w:rFonts w:ascii="Times New Roman" w:hAnsi="Times New Roman" w:cs="Times New Roman"/>
          <w:color w:val="7030A0"/>
          <w:sz w:val="24"/>
          <w:szCs w:val="24"/>
        </w:rPr>
      </w:pPr>
      <w:r w:rsidRPr="00746504">
        <w:rPr>
          <w:rFonts w:ascii="Times New Roman" w:hAnsi="Times New Roman" w:cs="Times New Roman"/>
          <w:color w:val="7030A0"/>
          <w:sz w:val="24"/>
          <w:szCs w:val="24"/>
        </w:rPr>
        <w:t>I am not aware of any such data.</w:t>
      </w:r>
    </w:p>
    <w:p w14:paraId="486DC448" w14:textId="4478B23F" w:rsidR="00D063EA" w:rsidRDefault="00D063EA" w:rsidP="00D063EA">
      <w:pPr>
        <w:pStyle w:val="ListParagraph"/>
        <w:numPr>
          <w:ilvl w:val="0"/>
          <w:numId w:val="19"/>
        </w:numPr>
        <w:jc w:val="both"/>
        <w:rPr>
          <w:rFonts w:ascii="Times New Roman" w:hAnsi="Times New Roman" w:cs="Times New Roman"/>
          <w:sz w:val="24"/>
          <w:szCs w:val="24"/>
        </w:rPr>
      </w:pPr>
      <w:r w:rsidRPr="00D063EA">
        <w:rPr>
          <w:rFonts w:ascii="Times New Roman" w:hAnsi="Times New Roman" w:cs="Times New Roman"/>
          <w:sz w:val="24"/>
          <w:szCs w:val="24"/>
        </w:rPr>
        <w:t>How is the adjudication of international family law cases organised in your jurisdiction?</w:t>
      </w:r>
    </w:p>
    <w:p w14:paraId="6F8C6355" w14:textId="2136A25A" w:rsidR="00746504" w:rsidRPr="00D23B62" w:rsidRDefault="00554802" w:rsidP="00E76191">
      <w:pPr>
        <w:jc w:val="both"/>
        <w:rPr>
          <w:rFonts w:ascii="Times New Roman" w:hAnsi="Times New Roman" w:cs="Times New Roman"/>
          <w:color w:val="7030A0"/>
          <w:sz w:val="24"/>
          <w:szCs w:val="24"/>
        </w:rPr>
      </w:pPr>
      <w:r>
        <w:rPr>
          <w:rFonts w:ascii="Times New Roman" w:hAnsi="Times New Roman" w:cs="Times New Roman"/>
          <w:color w:val="7030A0"/>
          <w:sz w:val="24"/>
          <w:szCs w:val="24"/>
        </w:rPr>
        <w:t>As far as I know, t</w:t>
      </w:r>
      <w:r w:rsidR="00746504" w:rsidRPr="00D23B62">
        <w:rPr>
          <w:rFonts w:ascii="Times New Roman" w:hAnsi="Times New Roman" w:cs="Times New Roman"/>
          <w:color w:val="7030A0"/>
          <w:sz w:val="24"/>
          <w:szCs w:val="24"/>
        </w:rPr>
        <w:t xml:space="preserve">here are no special rules for ‘international family law cases’ as such – but there are specific rules on which domestic courts hear </w:t>
      </w:r>
      <w:proofErr w:type="gramStart"/>
      <w:r w:rsidR="00746504" w:rsidRPr="00D23B62">
        <w:rPr>
          <w:rFonts w:ascii="Times New Roman" w:hAnsi="Times New Roman" w:cs="Times New Roman"/>
          <w:color w:val="7030A0"/>
          <w:sz w:val="24"/>
          <w:szCs w:val="24"/>
        </w:rPr>
        <w:t>particular kinds</w:t>
      </w:r>
      <w:proofErr w:type="gramEnd"/>
      <w:r w:rsidR="00746504" w:rsidRPr="00D23B62">
        <w:rPr>
          <w:rFonts w:ascii="Times New Roman" w:hAnsi="Times New Roman" w:cs="Times New Roman"/>
          <w:color w:val="7030A0"/>
          <w:sz w:val="24"/>
          <w:szCs w:val="24"/>
        </w:rPr>
        <w:t xml:space="preserve"> of international family</w:t>
      </w:r>
      <w:r w:rsidR="00E66C59">
        <w:rPr>
          <w:rFonts w:ascii="Times New Roman" w:hAnsi="Times New Roman" w:cs="Times New Roman"/>
          <w:color w:val="7030A0"/>
          <w:sz w:val="24"/>
          <w:szCs w:val="24"/>
        </w:rPr>
        <w:t xml:space="preserve"> law</w:t>
      </w:r>
      <w:r w:rsidR="00746504" w:rsidRPr="00D23B62">
        <w:rPr>
          <w:rFonts w:ascii="Times New Roman" w:hAnsi="Times New Roman" w:cs="Times New Roman"/>
          <w:color w:val="7030A0"/>
          <w:sz w:val="24"/>
          <w:szCs w:val="24"/>
        </w:rPr>
        <w:t xml:space="preserve"> cases. </w:t>
      </w:r>
    </w:p>
    <w:p w14:paraId="71C867AD" w14:textId="29794CAB" w:rsidR="00746504" w:rsidRPr="00D23B62" w:rsidRDefault="00746504" w:rsidP="00E76191">
      <w:pPr>
        <w:jc w:val="both"/>
        <w:rPr>
          <w:rFonts w:ascii="Times New Roman" w:hAnsi="Times New Roman" w:cs="Times New Roman"/>
          <w:color w:val="7030A0"/>
          <w:sz w:val="24"/>
          <w:szCs w:val="24"/>
        </w:rPr>
      </w:pPr>
      <w:r w:rsidRPr="00D23B62">
        <w:rPr>
          <w:rFonts w:ascii="Times New Roman" w:hAnsi="Times New Roman" w:cs="Times New Roman"/>
          <w:color w:val="7030A0"/>
          <w:sz w:val="24"/>
          <w:szCs w:val="24"/>
        </w:rPr>
        <w:t>In Ireland the civil courts are divided into 5 levels: Supreme Court (highest court</w:t>
      </w:r>
      <w:r w:rsidR="005411CB">
        <w:rPr>
          <w:rFonts w:ascii="Times New Roman" w:hAnsi="Times New Roman" w:cs="Times New Roman"/>
          <w:color w:val="7030A0"/>
          <w:sz w:val="24"/>
          <w:szCs w:val="24"/>
        </w:rPr>
        <w:t>, appellate court</w:t>
      </w:r>
      <w:r w:rsidR="00C637CE">
        <w:rPr>
          <w:rFonts w:ascii="Times New Roman" w:hAnsi="Times New Roman" w:cs="Times New Roman"/>
          <w:color w:val="7030A0"/>
          <w:sz w:val="24"/>
          <w:szCs w:val="24"/>
        </w:rPr>
        <w:t xml:space="preserve">, deals with </w:t>
      </w:r>
      <w:r w:rsidR="005411CB">
        <w:rPr>
          <w:rFonts w:ascii="Times New Roman" w:hAnsi="Times New Roman" w:cs="Times New Roman"/>
          <w:color w:val="7030A0"/>
          <w:sz w:val="24"/>
          <w:szCs w:val="24"/>
        </w:rPr>
        <w:t>c</w:t>
      </w:r>
      <w:r w:rsidR="00C637CE">
        <w:rPr>
          <w:rFonts w:ascii="Times New Roman" w:hAnsi="Times New Roman" w:cs="Times New Roman"/>
          <w:color w:val="7030A0"/>
          <w:sz w:val="24"/>
          <w:szCs w:val="24"/>
        </w:rPr>
        <w:t>ases of</w:t>
      </w:r>
      <w:r w:rsidR="005411CB">
        <w:rPr>
          <w:rFonts w:ascii="Times New Roman" w:hAnsi="Times New Roman" w:cs="Times New Roman"/>
          <w:color w:val="7030A0"/>
          <w:sz w:val="24"/>
          <w:szCs w:val="24"/>
        </w:rPr>
        <w:t xml:space="preserve"> public importance</w:t>
      </w:r>
      <w:r w:rsidRPr="00D23B62">
        <w:rPr>
          <w:rFonts w:ascii="Times New Roman" w:hAnsi="Times New Roman" w:cs="Times New Roman"/>
          <w:color w:val="7030A0"/>
          <w:sz w:val="24"/>
          <w:szCs w:val="24"/>
        </w:rPr>
        <w:t>), Court of Appeal (next highest</w:t>
      </w:r>
      <w:r w:rsidR="005411CB">
        <w:rPr>
          <w:rFonts w:ascii="Times New Roman" w:hAnsi="Times New Roman" w:cs="Times New Roman"/>
          <w:color w:val="7030A0"/>
          <w:sz w:val="24"/>
          <w:szCs w:val="24"/>
        </w:rPr>
        <w:t xml:space="preserve"> court, hears appeals from High Court in civil cases</w:t>
      </w:r>
      <w:r w:rsidRPr="00D23B62">
        <w:rPr>
          <w:rFonts w:ascii="Times New Roman" w:hAnsi="Times New Roman" w:cs="Times New Roman"/>
          <w:color w:val="7030A0"/>
          <w:sz w:val="24"/>
          <w:szCs w:val="24"/>
        </w:rPr>
        <w:t>), High Court (next highest</w:t>
      </w:r>
      <w:r w:rsidR="005411CB">
        <w:rPr>
          <w:rFonts w:ascii="Times New Roman" w:hAnsi="Times New Roman" w:cs="Times New Roman"/>
          <w:color w:val="7030A0"/>
          <w:sz w:val="24"/>
          <w:szCs w:val="24"/>
        </w:rPr>
        <w:t>, full original jurisdiction</w:t>
      </w:r>
      <w:r w:rsidRPr="00D23B62">
        <w:rPr>
          <w:rFonts w:ascii="Times New Roman" w:hAnsi="Times New Roman" w:cs="Times New Roman"/>
          <w:color w:val="7030A0"/>
          <w:sz w:val="24"/>
          <w:szCs w:val="24"/>
        </w:rPr>
        <w:t>), Circuit Court (next highest</w:t>
      </w:r>
      <w:r w:rsidR="005411CB">
        <w:rPr>
          <w:rFonts w:ascii="Times New Roman" w:hAnsi="Times New Roman" w:cs="Times New Roman"/>
          <w:color w:val="7030A0"/>
          <w:sz w:val="24"/>
          <w:szCs w:val="24"/>
        </w:rPr>
        <w:t>, court of local/limited jurisdiction</w:t>
      </w:r>
      <w:r w:rsidRPr="00D23B62">
        <w:rPr>
          <w:rFonts w:ascii="Times New Roman" w:hAnsi="Times New Roman" w:cs="Times New Roman"/>
          <w:color w:val="7030A0"/>
          <w:sz w:val="24"/>
          <w:szCs w:val="24"/>
        </w:rPr>
        <w:t>), District Court (lowest court</w:t>
      </w:r>
      <w:r w:rsidR="005411CB">
        <w:rPr>
          <w:rFonts w:ascii="Times New Roman" w:hAnsi="Times New Roman" w:cs="Times New Roman"/>
          <w:color w:val="7030A0"/>
          <w:sz w:val="24"/>
          <w:szCs w:val="24"/>
        </w:rPr>
        <w:t>, court of local/limited jurisdiction</w:t>
      </w:r>
      <w:r w:rsidRPr="00D23B62">
        <w:rPr>
          <w:rFonts w:ascii="Times New Roman" w:hAnsi="Times New Roman" w:cs="Times New Roman"/>
          <w:color w:val="7030A0"/>
          <w:sz w:val="24"/>
          <w:szCs w:val="24"/>
        </w:rPr>
        <w:t>).</w:t>
      </w:r>
    </w:p>
    <w:p w14:paraId="5B52AC30" w14:textId="57F42633" w:rsidR="00746504" w:rsidRPr="00D23B62" w:rsidRDefault="00746504" w:rsidP="00E76191">
      <w:pPr>
        <w:jc w:val="both"/>
        <w:rPr>
          <w:rFonts w:ascii="Times New Roman" w:hAnsi="Times New Roman" w:cs="Times New Roman"/>
          <w:color w:val="7030A0"/>
          <w:sz w:val="24"/>
          <w:szCs w:val="24"/>
        </w:rPr>
      </w:pPr>
      <w:proofErr w:type="gramStart"/>
      <w:r w:rsidRPr="00D23B62">
        <w:rPr>
          <w:rFonts w:ascii="Times New Roman" w:hAnsi="Times New Roman" w:cs="Times New Roman"/>
          <w:color w:val="7030A0"/>
          <w:sz w:val="24"/>
          <w:szCs w:val="24"/>
        </w:rPr>
        <w:t>All of</w:t>
      </w:r>
      <w:proofErr w:type="gramEnd"/>
      <w:r w:rsidRPr="00D23B62">
        <w:rPr>
          <w:rFonts w:ascii="Times New Roman" w:hAnsi="Times New Roman" w:cs="Times New Roman"/>
          <w:color w:val="7030A0"/>
          <w:sz w:val="24"/>
          <w:szCs w:val="24"/>
        </w:rPr>
        <w:t xml:space="preserve"> these courts will hear some ‘international family law’ cases, but some are given particular respons</w:t>
      </w:r>
      <w:r w:rsidR="00D23B62" w:rsidRPr="00D23B62">
        <w:rPr>
          <w:rFonts w:ascii="Times New Roman" w:hAnsi="Times New Roman" w:cs="Times New Roman"/>
          <w:color w:val="7030A0"/>
          <w:sz w:val="24"/>
          <w:szCs w:val="24"/>
        </w:rPr>
        <w:t>ibility for particular kinds of cases.</w:t>
      </w:r>
      <w:r w:rsidRPr="00D23B62">
        <w:rPr>
          <w:rFonts w:ascii="Times New Roman" w:hAnsi="Times New Roman" w:cs="Times New Roman"/>
          <w:color w:val="7030A0"/>
          <w:sz w:val="24"/>
          <w:szCs w:val="24"/>
        </w:rPr>
        <w:t xml:space="preserve"> </w:t>
      </w:r>
    </w:p>
    <w:p w14:paraId="1BBD76FE" w14:textId="46EB4FF0" w:rsidR="00D23B62" w:rsidRPr="00D23B62" w:rsidRDefault="00746504" w:rsidP="00E76191">
      <w:pPr>
        <w:jc w:val="both"/>
        <w:rPr>
          <w:rFonts w:ascii="Times New Roman" w:hAnsi="Times New Roman" w:cs="Times New Roman"/>
          <w:color w:val="7030A0"/>
          <w:sz w:val="24"/>
          <w:szCs w:val="24"/>
        </w:rPr>
      </w:pPr>
      <w:r w:rsidRPr="00D23B62">
        <w:rPr>
          <w:rFonts w:ascii="Times New Roman" w:hAnsi="Times New Roman" w:cs="Times New Roman"/>
          <w:color w:val="7030A0"/>
          <w:sz w:val="24"/>
          <w:szCs w:val="24"/>
        </w:rPr>
        <w:t xml:space="preserve">For instance, only the High Court can hear a return application under the 1980 Hague </w:t>
      </w:r>
      <w:r w:rsidR="005411CB">
        <w:rPr>
          <w:rFonts w:ascii="Times New Roman" w:hAnsi="Times New Roman" w:cs="Times New Roman"/>
          <w:color w:val="7030A0"/>
          <w:sz w:val="24"/>
          <w:szCs w:val="24"/>
        </w:rPr>
        <w:t xml:space="preserve">Child Abduction </w:t>
      </w:r>
      <w:r w:rsidRPr="00D23B62">
        <w:rPr>
          <w:rFonts w:ascii="Times New Roman" w:hAnsi="Times New Roman" w:cs="Times New Roman"/>
          <w:color w:val="7030A0"/>
          <w:sz w:val="24"/>
          <w:szCs w:val="24"/>
        </w:rPr>
        <w:t>Convention</w:t>
      </w:r>
      <w:r w:rsidR="005411CB">
        <w:rPr>
          <w:rFonts w:ascii="Times New Roman" w:hAnsi="Times New Roman" w:cs="Times New Roman"/>
          <w:color w:val="7030A0"/>
          <w:sz w:val="24"/>
          <w:szCs w:val="24"/>
        </w:rPr>
        <w:t xml:space="preserve"> (s 7 Child Abduction and Enforcement of Custody Orders Act 1991)</w:t>
      </w:r>
      <w:r w:rsidR="00D23B62" w:rsidRPr="00D23B62">
        <w:rPr>
          <w:rFonts w:ascii="Times New Roman" w:hAnsi="Times New Roman" w:cs="Times New Roman"/>
          <w:color w:val="7030A0"/>
          <w:sz w:val="24"/>
          <w:szCs w:val="24"/>
        </w:rPr>
        <w:t>. The losing parent can appeal to the Court of Appeal – and in theory there may be a further appeal to the Supreme Court but in practice (since the Court of Ap</w:t>
      </w:r>
      <w:r w:rsidR="005411CB">
        <w:rPr>
          <w:rFonts w:ascii="Times New Roman" w:hAnsi="Times New Roman" w:cs="Times New Roman"/>
          <w:color w:val="7030A0"/>
          <w:sz w:val="24"/>
          <w:szCs w:val="24"/>
        </w:rPr>
        <w:t>peal was established in 2014</w:t>
      </w:r>
      <w:r w:rsidR="00D23B62" w:rsidRPr="00D23B62">
        <w:rPr>
          <w:rFonts w:ascii="Times New Roman" w:hAnsi="Times New Roman" w:cs="Times New Roman"/>
          <w:color w:val="7030A0"/>
          <w:sz w:val="24"/>
          <w:szCs w:val="24"/>
        </w:rPr>
        <w:t>) very, very few appeals to the Supreme C</w:t>
      </w:r>
      <w:r w:rsidR="005411CB">
        <w:rPr>
          <w:rFonts w:ascii="Times New Roman" w:hAnsi="Times New Roman" w:cs="Times New Roman"/>
          <w:color w:val="7030A0"/>
          <w:sz w:val="24"/>
          <w:szCs w:val="24"/>
        </w:rPr>
        <w:t>ourt are permitted</w:t>
      </w:r>
      <w:r w:rsidR="00D23B62" w:rsidRPr="00D23B62">
        <w:rPr>
          <w:rFonts w:ascii="Times New Roman" w:hAnsi="Times New Roman" w:cs="Times New Roman"/>
          <w:color w:val="7030A0"/>
          <w:sz w:val="24"/>
          <w:szCs w:val="24"/>
        </w:rPr>
        <w:t>.</w:t>
      </w:r>
      <w:r w:rsidRPr="00D23B62">
        <w:rPr>
          <w:rFonts w:ascii="Times New Roman" w:hAnsi="Times New Roman" w:cs="Times New Roman"/>
          <w:color w:val="7030A0"/>
          <w:sz w:val="24"/>
          <w:szCs w:val="24"/>
        </w:rPr>
        <w:t xml:space="preserve"> </w:t>
      </w:r>
    </w:p>
    <w:p w14:paraId="50EDBD47" w14:textId="7ACBF42B" w:rsidR="00D23B62" w:rsidRPr="00D23B62" w:rsidRDefault="00D23B62" w:rsidP="00E76191">
      <w:pPr>
        <w:jc w:val="both"/>
        <w:rPr>
          <w:rFonts w:ascii="Times New Roman" w:hAnsi="Times New Roman" w:cs="Times New Roman"/>
          <w:color w:val="7030A0"/>
          <w:sz w:val="24"/>
          <w:szCs w:val="24"/>
        </w:rPr>
      </w:pPr>
      <w:r w:rsidRPr="00D23B62">
        <w:rPr>
          <w:rFonts w:ascii="Times New Roman" w:hAnsi="Times New Roman" w:cs="Times New Roman"/>
          <w:color w:val="7030A0"/>
          <w:sz w:val="24"/>
          <w:szCs w:val="24"/>
        </w:rPr>
        <w:t>Only the</w:t>
      </w:r>
      <w:r w:rsidR="00746504" w:rsidRPr="00D23B62">
        <w:rPr>
          <w:rFonts w:ascii="Times New Roman" w:hAnsi="Times New Roman" w:cs="Times New Roman"/>
          <w:color w:val="7030A0"/>
          <w:sz w:val="24"/>
          <w:szCs w:val="24"/>
        </w:rPr>
        <w:t xml:space="preserve"> Circuit Court</w:t>
      </w:r>
      <w:r w:rsidRPr="00D23B62">
        <w:rPr>
          <w:rFonts w:ascii="Times New Roman" w:hAnsi="Times New Roman" w:cs="Times New Roman"/>
          <w:color w:val="7030A0"/>
          <w:sz w:val="24"/>
          <w:szCs w:val="24"/>
        </w:rPr>
        <w:t xml:space="preserve"> and High Court are empowered to pronounce divorce</w:t>
      </w:r>
      <w:r w:rsidR="001636B4">
        <w:rPr>
          <w:rFonts w:ascii="Times New Roman" w:hAnsi="Times New Roman" w:cs="Times New Roman"/>
          <w:color w:val="7030A0"/>
          <w:sz w:val="24"/>
          <w:szCs w:val="24"/>
        </w:rPr>
        <w:t xml:space="preserve"> (s 38 Family Law (Divorce) Act 1996)</w:t>
      </w:r>
      <w:r w:rsidRPr="00D23B62">
        <w:rPr>
          <w:rFonts w:ascii="Times New Roman" w:hAnsi="Times New Roman" w:cs="Times New Roman"/>
          <w:color w:val="7030A0"/>
          <w:sz w:val="24"/>
          <w:szCs w:val="24"/>
        </w:rPr>
        <w:t xml:space="preserve"> and so only these cour</w:t>
      </w:r>
      <w:r w:rsidR="001636B4">
        <w:rPr>
          <w:rFonts w:ascii="Times New Roman" w:hAnsi="Times New Roman" w:cs="Times New Roman"/>
          <w:color w:val="7030A0"/>
          <w:sz w:val="24"/>
          <w:szCs w:val="24"/>
        </w:rPr>
        <w:t>ts apply/interpret divorce jurisdiction rules laid down in</w:t>
      </w:r>
      <w:r w:rsidRPr="00D23B62">
        <w:rPr>
          <w:rFonts w:ascii="Times New Roman" w:hAnsi="Times New Roman" w:cs="Times New Roman"/>
          <w:color w:val="7030A0"/>
          <w:sz w:val="24"/>
          <w:szCs w:val="24"/>
        </w:rPr>
        <w:t xml:space="preserve"> Brussels II</w:t>
      </w:r>
      <w:r w:rsidRPr="000977BB">
        <w:rPr>
          <w:rFonts w:ascii="Times New Roman" w:hAnsi="Times New Roman" w:cs="Times New Roman"/>
          <w:i/>
          <w:iCs/>
          <w:color w:val="7030A0"/>
          <w:sz w:val="24"/>
          <w:szCs w:val="24"/>
        </w:rPr>
        <w:t>ter</w:t>
      </w:r>
      <w:r w:rsidR="00554802">
        <w:rPr>
          <w:rFonts w:ascii="Times New Roman" w:hAnsi="Times New Roman" w:cs="Times New Roman"/>
          <w:color w:val="7030A0"/>
          <w:sz w:val="24"/>
          <w:szCs w:val="24"/>
        </w:rPr>
        <w:t xml:space="preserve"> (and previously Brussels </w:t>
      </w:r>
      <w:proofErr w:type="spellStart"/>
      <w:r w:rsidR="00554802">
        <w:rPr>
          <w:rFonts w:ascii="Times New Roman" w:hAnsi="Times New Roman" w:cs="Times New Roman"/>
          <w:color w:val="7030A0"/>
          <w:sz w:val="24"/>
          <w:szCs w:val="24"/>
        </w:rPr>
        <w:t>II</w:t>
      </w:r>
      <w:r w:rsidR="00554802" w:rsidRPr="000977BB">
        <w:rPr>
          <w:rFonts w:ascii="Times New Roman" w:hAnsi="Times New Roman" w:cs="Times New Roman"/>
          <w:i/>
          <w:iCs/>
          <w:color w:val="7030A0"/>
          <w:sz w:val="24"/>
          <w:szCs w:val="24"/>
        </w:rPr>
        <w:t>bis</w:t>
      </w:r>
      <w:proofErr w:type="spellEnd"/>
      <w:r w:rsidR="00554802">
        <w:rPr>
          <w:rFonts w:ascii="Times New Roman" w:hAnsi="Times New Roman" w:cs="Times New Roman"/>
          <w:color w:val="7030A0"/>
          <w:sz w:val="24"/>
          <w:szCs w:val="24"/>
        </w:rPr>
        <w:t>)</w:t>
      </w:r>
      <w:r w:rsidRPr="00D23B62">
        <w:rPr>
          <w:rFonts w:ascii="Times New Roman" w:hAnsi="Times New Roman" w:cs="Times New Roman"/>
          <w:color w:val="7030A0"/>
          <w:sz w:val="24"/>
          <w:szCs w:val="24"/>
        </w:rPr>
        <w:t>. These two courts are also tasked with determining the validity of foreign divorces (see</w:t>
      </w:r>
      <w:r w:rsidR="001636B4">
        <w:rPr>
          <w:rFonts w:ascii="Times New Roman" w:hAnsi="Times New Roman" w:cs="Times New Roman"/>
          <w:color w:val="7030A0"/>
          <w:sz w:val="24"/>
          <w:szCs w:val="24"/>
        </w:rPr>
        <w:t xml:space="preserve"> s 29 Family Law Act 1995).</w:t>
      </w:r>
    </w:p>
    <w:p w14:paraId="7FAA9AD3" w14:textId="4160D066" w:rsidR="00D23B62" w:rsidRPr="00D23B62" w:rsidRDefault="00D23B62" w:rsidP="00E76191">
      <w:pPr>
        <w:jc w:val="both"/>
        <w:rPr>
          <w:rFonts w:ascii="Times New Roman" w:hAnsi="Times New Roman" w:cs="Times New Roman"/>
          <w:color w:val="7030A0"/>
          <w:sz w:val="24"/>
          <w:szCs w:val="24"/>
        </w:rPr>
      </w:pPr>
      <w:r w:rsidRPr="00D23B62">
        <w:rPr>
          <w:rFonts w:ascii="Times New Roman" w:hAnsi="Times New Roman" w:cs="Times New Roman"/>
          <w:color w:val="7030A0"/>
          <w:sz w:val="24"/>
          <w:szCs w:val="24"/>
        </w:rPr>
        <w:t>The District</w:t>
      </w:r>
      <w:r w:rsidR="00471BE0">
        <w:rPr>
          <w:rFonts w:ascii="Times New Roman" w:hAnsi="Times New Roman" w:cs="Times New Roman"/>
          <w:color w:val="7030A0"/>
          <w:sz w:val="24"/>
          <w:szCs w:val="24"/>
        </w:rPr>
        <w:t xml:space="preserve"> Court</w:t>
      </w:r>
      <w:r w:rsidRPr="00D23B62">
        <w:rPr>
          <w:rFonts w:ascii="Times New Roman" w:hAnsi="Times New Roman" w:cs="Times New Roman"/>
          <w:color w:val="7030A0"/>
          <w:sz w:val="24"/>
          <w:szCs w:val="24"/>
        </w:rPr>
        <w:t xml:space="preserve"> deal</w:t>
      </w:r>
      <w:r w:rsidR="00471BE0">
        <w:rPr>
          <w:rFonts w:ascii="Times New Roman" w:hAnsi="Times New Roman" w:cs="Times New Roman"/>
          <w:color w:val="7030A0"/>
          <w:sz w:val="24"/>
          <w:szCs w:val="24"/>
        </w:rPr>
        <w:t>s</w:t>
      </w:r>
      <w:r w:rsidRPr="00D23B62">
        <w:rPr>
          <w:rFonts w:ascii="Times New Roman" w:hAnsi="Times New Roman" w:cs="Times New Roman"/>
          <w:color w:val="7030A0"/>
          <w:sz w:val="24"/>
          <w:szCs w:val="24"/>
        </w:rPr>
        <w:t xml:space="preserve"> with parental responsibility and maintenance in a cross-border context</w:t>
      </w:r>
      <w:r w:rsidR="003B1E76">
        <w:rPr>
          <w:rFonts w:ascii="Times New Roman" w:hAnsi="Times New Roman" w:cs="Times New Roman"/>
          <w:color w:val="7030A0"/>
          <w:sz w:val="24"/>
          <w:szCs w:val="24"/>
        </w:rPr>
        <w:t>.</w:t>
      </w:r>
      <w:r w:rsidRPr="00D23B62">
        <w:rPr>
          <w:rFonts w:ascii="Times New Roman" w:hAnsi="Times New Roman" w:cs="Times New Roman"/>
          <w:color w:val="7030A0"/>
          <w:sz w:val="24"/>
          <w:szCs w:val="24"/>
        </w:rPr>
        <w:t xml:space="preserve"> </w:t>
      </w:r>
      <w:proofErr w:type="gramStart"/>
      <w:r w:rsidR="003B1E76">
        <w:rPr>
          <w:rFonts w:ascii="Times New Roman" w:hAnsi="Times New Roman" w:cs="Times New Roman"/>
          <w:color w:val="7030A0"/>
          <w:sz w:val="24"/>
          <w:szCs w:val="24"/>
        </w:rPr>
        <w:t>S</w:t>
      </w:r>
      <w:r w:rsidR="00471BE0">
        <w:rPr>
          <w:rFonts w:ascii="Times New Roman" w:hAnsi="Times New Roman" w:cs="Times New Roman"/>
          <w:color w:val="7030A0"/>
          <w:sz w:val="24"/>
          <w:szCs w:val="24"/>
        </w:rPr>
        <w:t>o</w:t>
      </w:r>
      <w:proofErr w:type="gramEnd"/>
      <w:r w:rsidR="00471BE0">
        <w:rPr>
          <w:rFonts w:ascii="Times New Roman" w:hAnsi="Times New Roman" w:cs="Times New Roman"/>
          <w:color w:val="7030A0"/>
          <w:sz w:val="24"/>
          <w:szCs w:val="24"/>
        </w:rPr>
        <w:t xml:space="preserve"> this court applies</w:t>
      </w:r>
      <w:r w:rsidRPr="00D23B62">
        <w:rPr>
          <w:rFonts w:ascii="Times New Roman" w:hAnsi="Times New Roman" w:cs="Times New Roman"/>
          <w:color w:val="7030A0"/>
          <w:sz w:val="24"/>
          <w:szCs w:val="24"/>
        </w:rPr>
        <w:t xml:space="preserve"> Brussels II</w:t>
      </w:r>
      <w:r w:rsidRPr="000977BB">
        <w:rPr>
          <w:rFonts w:ascii="Times New Roman" w:hAnsi="Times New Roman" w:cs="Times New Roman"/>
          <w:i/>
          <w:iCs/>
          <w:color w:val="7030A0"/>
          <w:sz w:val="24"/>
          <w:szCs w:val="24"/>
        </w:rPr>
        <w:t>ter</w:t>
      </w:r>
      <w:r w:rsidRPr="00D23B62">
        <w:rPr>
          <w:rFonts w:ascii="Times New Roman" w:hAnsi="Times New Roman" w:cs="Times New Roman"/>
          <w:color w:val="7030A0"/>
          <w:sz w:val="24"/>
          <w:szCs w:val="24"/>
        </w:rPr>
        <w:t xml:space="preserve"> insofar as it deals with </w:t>
      </w:r>
      <w:r w:rsidR="003B1E76">
        <w:rPr>
          <w:rFonts w:ascii="Times New Roman" w:hAnsi="Times New Roman" w:cs="Times New Roman"/>
          <w:color w:val="7030A0"/>
          <w:sz w:val="24"/>
          <w:szCs w:val="24"/>
        </w:rPr>
        <w:t xml:space="preserve">jurisdiction in </w:t>
      </w:r>
      <w:r w:rsidRPr="00D23B62">
        <w:rPr>
          <w:rFonts w:ascii="Times New Roman" w:hAnsi="Times New Roman" w:cs="Times New Roman"/>
          <w:color w:val="7030A0"/>
          <w:sz w:val="24"/>
          <w:szCs w:val="24"/>
        </w:rPr>
        <w:t>paren</w:t>
      </w:r>
      <w:r w:rsidR="003B1E76">
        <w:rPr>
          <w:rFonts w:ascii="Times New Roman" w:hAnsi="Times New Roman" w:cs="Times New Roman"/>
          <w:color w:val="7030A0"/>
          <w:sz w:val="24"/>
          <w:szCs w:val="24"/>
        </w:rPr>
        <w:t>tal responsibility matters - and</w:t>
      </w:r>
      <w:r w:rsidRPr="00D23B62">
        <w:rPr>
          <w:rFonts w:ascii="Times New Roman" w:hAnsi="Times New Roman" w:cs="Times New Roman"/>
          <w:color w:val="7030A0"/>
          <w:sz w:val="24"/>
          <w:szCs w:val="24"/>
        </w:rPr>
        <w:t xml:space="preserve"> the 1996 Hague Protection of Children C</w:t>
      </w:r>
      <w:r w:rsidR="003B1E76">
        <w:rPr>
          <w:rFonts w:ascii="Times New Roman" w:hAnsi="Times New Roman" w:cs="Times New Roman"/>
          <w:color w:val="7030A0"/>
          <w:sz w:val="24"/>
          <w:szCs w:val="24"/>
        </w:rPr>
        <w:t>onvention (see s 4 Protection of Children (Hague Convention) Act 2000).</w:t>
      </w:r>
      <w:r w:rsidRPr="00D23B62">
        <w:rPr>
          <w:rFonts w:ascii="Times New Roman" w:hAnsi="Times New Roman" w:cs="Times New Roman"/>
          <w:color w:val="7030A0"/>
          <w:sz w:val="24"/>
          <w:szCs w:val="24"/>
        </w:rPr>
        <w:t xml:space="preserve"> </w:t>
      </w:r>
      <w:r w:rsidR="003B1E76">
        <w:rPr>
          <w:rFonts w:ascii="Times New Roman" w:hAnsi="Times New Roman" w:cs="Times New Roman"/>
          <w:color w:val="7030A0"/>
          <w:sz w:val="24"/>
          <w:szCs w:val="24"/>
        </w:rPr>
        <w:t>T</w:t>
      </w:r>
      <w:r w:rsidR="00471BE0">
        <w:rPr>
          <w:rFonts w:ascii="Times New Roman" w:hAnsi="Times New Roman" w:cs="Times New Roman"/>
          <w:color w:val="7030A0"/>
          <w:sz w:val="24"/>
          <w:szCs w:val="24"/>
        </w:rPr>
        <w:t xml:space="preserve">he District Court also </w:t>
      </w:r>
      <w:r w:rsidR="00A54D30">
        <w:rPr>
          <w:rFonts w:ascii="Times New Roman" w:hAnsi="Times New Roman" w:cs="Times New Roman"/>
          <w:color w:val="7030A0"/>
          <w:sz w:val="24"/>
          <w:szCs w:val="24"/>
        </w:rPr>
        <w:t xml:space="preserve">exercises </w:t>
      </w:r>
      <w:r w:rsidR="00A54D30">
        <w:rPr>
          <w:rFonts w:ascii="Times New Roman" w:hAnsi="Times New Roman" w:cs="Times New Roman"/>
          <w:color w:val="7030A0"/>
          <w:sz w:val="24"/>
          <w:szCs w:val="24"/>
        </w:rPr>
        <w:lastRenderedPageBreak/>
        <w:t xml:space="preserve">jurisdiction in maintenance matters under </w:t>
      </w:r>
      <w:r w:rsidR="003B1E76">
        <w:rPr>
          <w:rFonts w:ascii="Times New Roman" w:hAnsi="Times New Roman" w:cs="Times New Roman"/>
          <w:color w:val="7030A0"/>
          <w:sz w:val="24"/>
          <w:szCs w:val="24"/>
        </w:rPr>
        <w:t xml:space="preserve">Regulation 4/2009 </w:t>
      </w:r>
      <w:r w:rsidR="00A54D30">
        <w:rPr>
          <w:rFonts w:ascii="Times New Roman" w:hAnsi="Times New Roman" w:cs="Times New Roman"/>
          <w:color w:val="7030A0"/>
          <w:sz w:val="24"/>
          <w:szCs w:val="24"/>
        </w:rPr>
        <w:t xml:space="preserve">(see the European Communities (Maintenance) Regulations 2011 (SI No 274/2011)). The District Court is also involved in the administration of the </w:t>
      </w:r>
      <w:r w:rsidR="00471BE0">
        <w:rPr>
          <w:rFonts w:ascii="Times New Roman" w:hAnsi="Times New Roman" w:cs="Times New Roman"/>
          <w:color w:val="7030A0"/>
          <w:sz w:val="24"/>
          <w:szCs w:val="24"/>
        </w:rPr>
        <w:t>2007 Hague Child Support C</w:t>
      </w:r>
      <w:r w:rsidR="00C637CE">
        <w:rPr>
          <w:rFonts w:ascii="Times New Roman" w:hAnsi="Times New Roman" w:cs="Times New Roman"/>
          <w:color w:val="7030A0"/>
          <w:sz w:val="24"/>
          <w:szCs w:val="24"/>
        </w:rPr>
        <w:t xml:space="preserve">onvention: </w:t>
      </w:r>
      <w:r w:rsidR="00471BE0">
        <w:rPr>
          <w:rFonts w:ascii="Times New Roman" w:hAnsi="Times New Roman" w:cs="Times New Roman"/>
          <w:color w:val="7030A0"/>
          <w:sz w:val="24"/>
          <w:szCs w:val="24"/>
        </w:rPr>
        <w:t>see</w:t>
      </w:r>
      <w:r w:rsidR="00C637CE">
        <w:rPr>
          <w:rFonts w:ascii="Times New Roman" w:hAnsi="Times New Roman" w:cs="Times New Roman"/>
          <w:color w:val="7030A0"/>
          <w:sz w:val="24"/>
          <w:szCs w:val="24"/>
        </w:rPr>
        <w:t xml:space="preserve"> European Union (Hague Maintenance Convention) Regulations 2019 (SI No 594/2019).</w:t>
      </w:r>
    </w:p>
    <w:p w14:paraId="1D0D4B7B" w14:textId="4B831ADE" w:rsidR="00746504" w:rsidRDefault="00746504" w:rsidP="00E76191">
      <w:pPr>
        <w:jc w:val="both"/>
        <w:rPr>
          <w:rFonts w:ascii="Times New Roman" w:hAnsi="Times New Roman" w:cs="Times New Roman"/>
          <w:sz w:val="24"/>
          <w:szCs w:val="24"/>
        </w:rPr>
      </w:pPr>
      <w:r>
        <w:rPr>
          <w:rFonts w:ascii="Times New Roman" w:hAnsi="Times New Roman" w:cs="Times New Roman"/>
          <w:sz w:val="24"/>
          <w:szCs w:val="24"/>
        </w:rPr>
        <w:t xml:space="preserve">   </w:t>
      </w:r>
    </w:p>
    <w:p w14:paraId="4A785F18" w14:textId="6DEA2E82" w:rsidR="00F408AF" w:rsidRPr="003F1C58" w:rsidRDefault="00DE0A7A" w:rsidP="008A76E4">
      <w:pPr>
        <w:pStyle w:val="Heading2"/>
        <w:numPr>
          <w:ilvl w:val="0"/>
          <w:numId w:val="6"/>
        </w:numPr>
        <w:jc w:val="both"/>
        <w:rPr>
          <w:rFonts w:ascii="Times New Roman" w:hAnsi="Times New Roman" w:cs="Times New Roman"/>
          <w:b/>
          <w:bCs/>
          <w:sz w:val="24"/>
          <w:szCs w:val="24"/>
        </w:rPr>
      </w:pPr>
      <w:r>
        <w:rPr>
          <w:rFonts w:ascii="Times New Roman" w:hAnsi="Times New Roman" w:cs="Times New Roman"/>
          <w:b/>
          <w:bCs/>
          <w:sz w:val="24"/>
          <w:szCs w:val="24"/>
        </w:rPr>
        <w:t xml:space="preserve">Hague </w:t>
      </w:r>
      <w:r w:rsidR="00F408AF" w:rsidRPr="003F1C58">
        <w:rPr>
          <w:rFonts w:ascii="Times New Roman" w:hAnsi="Times New Roman" w:cs="Times New Roman"/>
          <w:b/>
          <w:bCs/>
          <w:sz w:val="24"/>
          <w:szCs w:val="24"/>
        </w:rPr>
        <w:t>Convention of 25 October 1980 on the Civil Aspects of International Child Abduction</w:t>
      </w:r>
    </w:p>
    <w:p w14:paraId="31A12EE8" w14:textId="77777777" w:rsidR="00E215E8" w:rsidRDefault="00E215E8" w:rsidP="008A76E4">
      <w:pPr>
        <w:jc w:val="both"/>
        <w:rPr>
          <w:rFonts w:ascii="Times New Roman" w:hAnsi="Times New Roman" w:cs="Times New Roman"/>
        </w:rPr>
      </w:pPr>
    </w:p>
    <w:p w14:paraId="6A3A7027" w14:textId="1D8BA19C" w:rsidR="008566E2" w:rsidRPr="00755C21" w:rsidRDefault="008D3E5A" w:rsidP="008A76E4">
      <w:pPr>
        <w:pStyle w:val="Heading2"/>
        <w:jc w:val="both"/>
        <w:rPr>
          <w:rFonts w:ascii="Times New Roman" w:hAnsi="Times New Roman" w:cs="Times New Roman"/>
          <w:color w:val="7030A0"/>
          <w:sz w:val="24"/>
          <w:szCs w:val="24"/>
        </w:rPr>
      </w:pPr>
      <w:r w:rsidRPr="00755C21">
        <w:rPr>
          <w:rFonts w:ascii="Times New Roman" w:hAnsi="Times New Roman" w:cs="Times New Roman"/>
          <w:color w:val="7030A0"/>
          <w:sz w:val="24"/>
          <w:szCs w:val="24"/>
        </w:rPr>
        <w:t>Upon</w:t>
      </w:r>
      <w:r w:rsidR="008566E2" w:rsidRPr="00755C21">
        <w:rPr>
          <w:rFonts w:ascii="Times New Roman" w:hAnsi="Times New Roman" w:cs="Times New Roman"/>
          <w:color w:val="7030A0"/>
          <w:sz w:val="24"/>
          <w:szCs w:val="24"/>
        </w:rPr>
        <w:t xml:space="preserve"> read</w:t>
      </w:r>
      <w:r w:rsidRPr="00755C21">
        <w:rPr>
          <w:rFonts w:ascii="Times New Roman" w:hAnsi="Times New Roman" w:cs="Times New Roman"/>
          <w:color w:val="7030A0"/>
          <w:sz w:val="24"/>
          <w:szCs w:val="24"/>
        </w:rPr>
        <w:t>ing</w:t>
      </w:r>
      <w:r w:rsidR="008566E2" w:rsidRPr="00755C21">
        <w:rPr>
          <w:rFonts w:ascii="Times New Roman" w:hAnsi="Times New Roman" w:cs="Times New Roman"/>
          <w:color w:val="7030A0"/>
          <w:sz w:val="24"/>
          <w:szCs w:val="24"/>
        </w:rPr>
        <w:t xml:space="preserve"> </w:t>
      </w:r>
      <w:proofErr w:type="gramStart"/>
      <w:r w:rsidR="008566E2" w:rsidRPr="00755C21">
        <w:rPr>
          <w:rFonts w:ascii="Times New Roman" w:hAnsi="Times New Roman" w:cs="Times New Roman"/>
          <w:color w:val="7030A0"/>
          <w:sz w:val="24"/>
          <w:szCs w:val="24"/>
        </w:rPr>
        <w:t>all of</w:t>
      </w:r>
      <w:proofErr w:type="gramEnd"/>
      <w:r w:rsidR="008566E2" w:rsidRPr="00755C21">
        <w:rPr>
          <w:rFonts w:ascii="Times New Roman" w:hAnsi="Times New Roman" w:cs="Times New Roman"/>
          <w:color w:val="7030A0"/>
          <w:sz w:val="24"/>
          <w:szCs w:val="24"/>
        </w:rPr>
        <w:t xml:space="preserve"> the </w:t>
      </w:r>
      <w:r w:rsidR="009B04AC" w:rsidRPr="00755C21">
        <w:rPr>
          <w:rFonts w:ascii="Times New Roman" w:hAnsi="Times New Roman" w:cs="Times New Roman"/>
          <w:color w:val="7030A0"/>
          <w:sz w:val="24"/>
          <w:szCs w:val="24"/>
        </w:rPr>
        <w:t xml:space="preserve">Irish </w:t>
      </w:r>
      <w:r w:rsidR="008566E2" w:rsidRPr="00755C21">
        <w:rPr>
          <w:rFonts w:ascii="Times New Roman" w:hAnsi="Times New Roman" w:cs="Times New Roman"/>
          <w:color w:val="7030A0"/>
          <w:sz w:val="24"/>
          <w:szCs w:val="24"/>
        </w:rPr>
        <w:t xml:space="preserve">Supreme Court and </w:t>
      </w:r>
      <w:r w:rsidR="00F95C55">
        <w:rPr>
          <w:rFonts w:ascii="Times New Roman" w:hAnsi="Times New Roman" w:cs="Times New Roman"/>
          <w:color w:val="7030A0"/>
          <w:sz w:val="24"/>
          <w:szCs w:val="24"/>
        </w:rPr>
        <w:t xml:space="preserve">Irish </w:t>
      </w:r>
      <w:r w:rsidR="008566E2" w:rsidRPr="00755C21">
        <w:rPr>
          <w:rFonts w:ascii="Times New Roman" w:hAnsi="Times New Roman" w:cs="Times New Roman"/>
          <w:color w:val="7030A0"/>
          <w:sz w:val="24"/>
          <w:szCs w:val="24"/>
        </w:rPr>
        <w:t xml:space="preserve">Court of Appeal judgments on the 1980 Hague Child Abduction Convention (HCAC) (and </w:t>
      </w:r>
      <w:r w:rsidR="00D16C1E">
        <w:rPr>
          <w:rFonts w:ascii="Times New Roman" w:hAnsi="Times New Roman" w:cs="Times New Roman"/>
          <w:color w:val="7030A0"/>
          <w:sz w:val="24"/>
          <w:szCs w:val="24"/>
        </w:rPr>
        <w:t xml:space="preserve">the </w:t>
      </w:r>
      <w:r w:rsidRPr="00755C21">
        <w:rPr>
          <w:rFonts w:ascii="Times New Roman" w:hAnsi="Times New Roman" w:cs="Times New Roman"/>
          <w:color w:val="7030A0"/>
          <w:sz w:val="24"/>
          <w:szCs w:val="24"/>
        </w:rPr>
        <w:t xml:space="preserve">Irish </w:t>
      </w:r>
      <w:r w:rsidR="008566E2" w:rsidRPr="00755C21">
        <w:rPr>
          <w:rFonts w:ascii="Times New Roman" w:hAnsi="Times New Roman" w:cs="Times New Roman"/>
          <w:color w:val="7030A0"/>
          <w:sz w:val="24"/>
          <w:szCs w:val="24"/>
        </w:rPr>
        <w:t>High Court judgments</w:t>
      </w:r>
      <w:r w:rsidR="009B04AC" w:rsidRPr="00755C21">
        <w:rPr>
          <w:rFonts w:ascii="Times New Roman" w:hAnsi="Times New Roman" w:cs="Times New Roman"/>
          <w:color w:val="7030A0"/>
          <w:sz w:val="24"/>
          <w:szCs w:val="24"/>
        </w:rPr>
        <w:t xml:space="preserve"> since 2018</w:t>
      </w:r>
      <w:r w:rsidR="008566E2" w:rsidRPr="00755C21">
        <w:rPr>
          <w:rFonts w:ascii="Times New Roman" w:hAnsi="Times New Roman" w:cs="Times New Roman"/>
          <w:color w:val="7030A0"/>
          <w:sz w:val="24"/>
          <w:szCs w:val="24"/>
        </w:rPr>
        <w:t>)</w:t>
      </w:r>
      <w:r w:rsidR="009B04AC" w:rsidRPr="00755C21">
        <w:rPr>
          <w:rFonts w:ascii="Times New Roman" w:hAnsi="Times New Roman" w:cs="Times New Roman"/>
          <w:color w:val="7030A0"/>
          <w:sz w:val="24"/>
          <w:szCs w:val="24"/>
        </w:rPr>
        <w:t>, it emerge</w:t>
      </w:r>
      <w:r w:rsidRPr="00755C21">
        <w:rPr>
          <w:rFonts w:ascii="Times New Roman" w:hAnsi="Times New Roman" w:cs="Times New Roman"/>
          <w:color w:val="7030A0"/>
          <w:sz w:val="24"/>
          <w:szCs w:val="24"/>
        </w:rPr>
        <w:t>s</w:t>
      </w:r>
      <w:r w:rsidR="009B04AC" w:rsidRPr="00755C21">
        <w:rPr>
          <w:rFonts w:ascii="Times New Roman" w:hAnsi="Times New Roman" w:cs="Times New Roman"/>
          <w:color w:val="7030A0"/>
          <w:sz w:val="24"/>
          <w:szCs w:val="24"/>
        </w:rPr>
        <w:t xml:space="preserve"> that while a relatively high volume of the requests for return</w:t>
      </w:r>
      <w:r w:rsidR="008566E2" w:rsidRPr="00755C21">
        <w:rPr>
          <w:rFonts w:ascii="Times New Roman" w:hAnsi="Times New Roman" w:cs="Times New Roman"/>
          <w:color w:val="7030A0"/>
          <w:sz w:val="24"/>
          <w:szCs w:val="24"/>
        </w:rPr>
        <w:t xml:space="preserve"> </w:t>
      </w:r>
      <w:r w:rsidRPr="00755C21">
        <w:rPr>
          <w:rFonts w:ascii="Times New Roman" w:hAnsi="Times New Roman" w:cs="Times New Roman"/>
          <w:color w:val="7030A0"/>
          <w:sz w:val="24"/>
          <w:szCs w:val="24"/>
        </w:rPr>
        <w:t>a</w:t>
      </w:r>
      <w:r w:rsidR="009B04AC" w:rsidRPr="00755C21">
        <w:rPr>
          <w:rFonts w:ascii="Times New Roman" w:hAnsi="Times New Roman" w:cs="Times New Roman"/>
          <w:color w:val="7030A0"/>
          <w:sz w:val="24"/>
          <w:szCs w:val="24"/>
        </w:rPr>
        <w:t xml:space="preserve">re to the UK, most </w:t>
      </w:r>
      <w:r w:rsidRPr="00755C21">
        <w:rPr>
          <w:rFonts w:ascii="Times New Roman" w:hAnsi="Times New Roman" w:cs="Times New Roman"/>
          <w:color w:val="7030A0"/>
          <w:sz w:val="24"/>
          <w:szCs w:val="24"/>
        </w:rPr>
        <w:t>a</w:t>
      </w:r>
      <w:r w:rsidR="009B04AC" w:rsidRPr="00755C21">
        <w:rPr>
          <w:rFonts w:ascii="Times New Roman" w:hAnsi="Times New Roman" w:cs="Times New Roman"/>
          <w:color w:val="7030A0"/>
          <w:sz w:val="24"/>
          <w:szCs w:val="24"/>
        </w:rPr>
        <w:t>re to England. O</w:t>
      </w:r>
      <w:r w:rsidR="008566E2" w:rsidRPr="00755C21">
        <w:rPr>
          <w:rFonts w:ascii="Times New Roman" w:hAnsi="Times New Roman" w:cs="Times New Roman"/>
          <w:color w:val="7030A0"/>
          <w:sz w:val="24"/>
          <w:szCs w:val="24"/>
        </w:rPr>
        <w:t>f 22 return applications to come before the Irish Supreme Court</w:t>
      </w:r>
      <w:r w:rsidR="00E53EEA" w:rsidRPr="00755C21">
        <w:rPr>
          <w:rFonts w:ascii="Times New Roman" w:hAnsi="Times New Roman" w:cs="Times New Roman"/>
          <w:color w:val="7030A0"/>
          <w:sz w:val="24"/>
          <w:szCs w:val="24"/>
        </w:rPr>
        <w:t xml:space="preserve"> between 1992 and 2019</w:t>
      </w:r>
      <w:r w:rsidR="008566E2" w:rsidRPr="00755C21">
        <w:rPr>
          <w:rFonts w:ascii="Times New Roman" w:hAnsi="Times New Roman" w:cs="Times New Roman"/>
          <w:color w:val="7030A0"/>
          <w:sz w:val="24"/>
          <w:szCs w:val="24"/>
        </w:rPr>
        <w:t>, 8 were requesting return to the UK (seven to England and one to Scotland)</w:t>
      </w:r>
      <w:r w:rsidR="009B04AC" w:rsidRPr="00755C21">
        <w:rPr>
          <w:rFonts w:ascii="Times New Roman" w:hAnsi="Times New Roman" w:cs="Times New Roman"/>
          <w:color w:val="7030A0"/>
          <w:sz w:val="24"/>
          <w:szCs w:val="24"/>
        </w:rPr>
        <w:t>.</w:t>
      </w:r>
      <w:r w:rsidR="00945EAA" w:rsidRPr="00755C21">
        <w:rPr>
          <w:rFonts w:ascii="Times New Roman" w:hAnsi="Times New Roman" w:cs="Times New Roman"/>
          <w:color w:val="7030A0"/>
          <w:sz w:val="24"/>
          <w:szCs w:val="24"/>
        </w:rPr>
        <w:t xml:space="preserve"> </w:t>
      </w:r>
      <w:r w:rsidR="009B04AC" w:rsidRPr="00755C21">
        <w:rPr>
          <w:rFonts w:ascii="Times New Roman" w:hAnsi="Times New Roman" w:cs="Times New Roman"/>
          <w:color w:val="7030A0"/>
          <w:sz w:val="24"/>
          <w:szCs w:val="24"/>
        </w:rPr>
        <w:t>O</w:t>
      </w:r>
      <w:r w:rsidR="00945EAA" w:rsidRPr="00755C21">
        <w:rPr>
          <w:rFonts w:ascii="Times New Roman" w:hAnsi="Times New Roman" w:cs="Times New Roman"/>
          <w:color w:val="7030A0"/>
          <w:sz w:val="24"/>
          <w:szCs w:val="24"/>
        </w:rPr>
        <w:t xml:space="preserve">f 15 return applications coming before the </w:t>
      </w:r>
      <w:r w:rsidR="004871FB" w:rsidRPr="00755C21">
        <w:rPr>
          <w:rFonts w:ascii="Times New Roman" w:hAnsi="Times New Roman" w:cs="Times New Roman"/>
          <w:color w:val="7030A0"/>
          <w:sz w:val="24"/>
          <w:szCs w:val="24"/>
        </w:rPr>
        <w:t xml:space="preserve">Irish </w:t>
      </w:r>
      <w:r w:rsidR="00945EAA" w:rsidRPr="00755C21">
        <w:rPr>
          <w:rFonts w:ascii="Times New Roman" w:hAnsi="Times New Roman" w:cs="Times New Roman"/>
          <w:color w:val="7030A0"/>
          <w:sz w:val="24"/>
          <w:szCs w:val="24"/>
        </w:rPr>
        <w:t>Court of Appeal between 2015 and 2022, 2 were requesting return to the UK (both to England)</w:t>
      </w:r>
      <w:r w:rsidR="009B04AC" w:rsidRPr="00755C21">
        <w:rPr>
          <w:rFonts w:ascii="Times New Roman" w:hAnsi="Times New Roman" w:cs="Times New Roman"/>
          <w:color w:val="7030A0"/>
          <w:sz w:val="24"/>
          <w:szCs w:val="24"/>
        </w:rPr>
        <w:t>. O</w:t>
      </w:r>
      <w:r w:rsidR="00945EAA" w:rsidRPr="00755C21">
        <w:rPr>
          <w:rFonts w:ascii="Times New Roman" w:hAnsi="Times New Roman" w:cs="Times New Roman"/>
          <w:color w:val="7030A0"/>
          <w:sz w:val="24"/>
          <w:szCs w:val="24"/>
        </w:rPr>
        <w:t xml:space="preserve">f </w:t>
      </w:r>
      <w:r w:rsidR="009B04AC" w:rsidRPr="00755C21">
        <w:rPr>
          <w:rFonts w:ascii="Times New Roman" w:hAnsi="Times New Roman" w:cs="Times New Roman"/>
          <w:color w:val="7030A0"/>
          <w:sz w:val="24"/>
          <w:szCs w:val="24"/>
        </w:rPr>
        <w:t>36</w:t>
      </w:r>
      <w:r w:rsidR="00945EAA" w:rsidRPr="00755C21">
        <w:rPr>
          <w:rFonts w:ascii="Times New Roman" w:hAnsi="Times New Roman" w:cs="Times New Roman"/>
          <w:color w:val="7030A0"/>
          <w:sz w:val="24"/>
          <w:szCs w:val="24"/>
        </w:rPr>
        <w:t xml:space="preserve"> return applications coming before the </w:t>
      </w:r>
      <w:r w:rsidR="009B04AC" w:rsidRPr="00755C21">
        <w:rPr>
          <w:rFonts w:ascii="Times New Roman" w:hAnsi="Times New Roman" w:cs="Times New Roman"/>
          <w:color w:val="7030A0"/>
          <w:sz w:val="24"/>
          <w:szCs w:val="24"/>
        </w:rPr>
        <w:t xml:space="preserve">Irish </w:t>
      </w:r>
      <w:r w:rsidR="00945EAA" w:rsidRPr="00755C21">
        <w:rPr>
          <w:rFonts w:ascii="Times New Roman" w:hAnsi="Times New Roman" w:cs="Times New Roman"/>
          <w:color w:val="7030A0"/>
          <w:sz w:val="24"/>
          <w:szCs w:val="24"/>
        </w:rPr>
        <w:t xml:space="preserve">High Court in the past </w:t>
      </w:r>
      <w:r w:rsidR="009B04AC" w:rsidRPr="00755C21">
        <w:rPr>
          <w:rFonts w:ascii="Times New Roman" w:hAnsi="Times New Roman" w:cs="Times New Roman"/>
          <w:color w:val="7030A0"/>
          <w:sz w:val="24"/>
          <w:szCs w:val="24"/>
        </w:rPr>
        <w:t>5+</w:t>
      </w:r>
      <w:r w:rsidR="00945EAA" w:rsidRPr="00755C21">
        <w:rPr>
          <w:rFonts w:ascii="Times New Roman" w:hAnsi="Times New Roman" w:cs="Times New Roman"/>
          <w:color w:val="7030A0"/>
          <w:sz w:val="24"/>
          <w:szCs w:val="24"/>
        </w:rPr>
        <w:t xml:space="preserve"> years (</w:t>
      </w:r>
      <w:r w:rsidR="009B04AC" w:rsidRPr="00755C21">
        <w:rPr>
          <w:rFonts w:ascii="Times New Roman" w:hAnsi="Times New Roman" w:cs="Times New Roman"/>
          <w:color w:val="7030A0"/>
          <w:sz w:val="24"/>
          <w:szCs w:val="24"/>
        </w:rPr>
        <w:t xml:space="preserve">Jan </w:t>
      </w:r>
      <w:r w:rsidR="00945EAA" w:rsidRPr="00755C21">
        <w:rPr>
          <w:rFonts w:ascii="Times New Roman" w:hAnsi="Times New Roman" w:cs="Times New Roman"/>
          <w:color w:val="7030A0"/>
          <w:sz w:val="24"/>
          <w:szCs w:val="24"/>
        </w:rPr>
        <w:t>201</w:t>
      </w:r>
      <w:r w:rsidR="009B04AC" w:rsidRPr="00755C21">
        <w:rPr>
          <w:rFonts w:ascii="Times New Roman" w:hAnsi="Times New Roman" w:cs="Times New Roman"/>
          <w:color w:val="7030A0"/>
          <w:sz w:val="24"/>
          <w:szCs w:val="24"/>
        </w:rPr>
        <w:t>8</w:t>
      </w:r>
      <w:r w:rsidR="00945EAA" w:rsidRPr="00755C21">
        <w:rPr>
          <w:rFonts w:ascii="Times New Roman" w:hAnsi="Times New Roman" w:cs="Times New Roman"/>
          <w:color w:val="7030A0"/>
          <w:sz w:val="24"/>
          <w:szCs w:val="24"/>
        </w:rPr>
        <w:t>-</w:t>
      </w:r>
      <w:r w:rsidR="009B04AC" w:rsidRPr="00755C21">
        <w:rPr>
          <w:rFonts w:ascii="Times New Roman" w:hAnsi="Times New Roman" w:cs="Times New Roman"/>
          <w:color w:val="7030A0"/>
          <w:sz w:val="24"/>
          <w:szCs w:val="24"/>
        </w:rPr>
        <w:t xml:space="preserve">March </w:t>
      </w:r>
      <w:r w:rsidR="00945EAA" w:rsidRPr="00755C21">
        <w:rPr>
          <w:rFonts w:ascii="Times New Roman" w:hAnsi="Times New Roman" w:cs="Times New Roman"/>
          <w:color w:val="7030A0"/>
          <w:sz w:val="24"/>
          <w:szCs w:val="24"/>
        </w:rPr>
        <w:t>202</w:t>
      </w:r>
      <w:r w:rsidR="009B04AC" w:rsidRPr="00755C21">
        <w:rPr>
          <w:rFonts w:ascii="Times New Roman" w:hAnsi="Times New Roman" w:cs="Times New Roman"/>
          <w:color w:val="7030A0"/>
          <w:sz w:val="24"/>
          <w:szCs w:val="24"/>
        </w:rPr>
        <w:t>3</w:t>
      </w:r>
      <w:r w:rsidR="00945EAA" w:rsidRPr="00755C21">
        <w:rPr>
          <w:rFonts w:ascii="Times New Roman" w:hAnsi="Times New Roman" w:cs="Times New Roman"/>
          <w:color w:val="7030A0"/>
          <w:sz w:val="24"/>
          <w:szCs w:val="24"/>
        </w:rPr>
        <w:t xml:space="preserve">), </w:t>
      </w:r>
      <w:r w:rsidR="009B04AC" w:rsidRPr="00755C21">
        <w:rPr>
          <w:rFonts w:ascii="Times New Roman" w:hAnsi="Times New Roman" w:cs="Times New Roman"/>
          <w:color w:val="7030A0"/>
          <w:sz w:val="24"/>
          <w:szCs w:val="24"/>
        </w:rPr>
        <w:t xml:space="preserve">13 </w:t>
      </w:r>
      <w:r w:rsidR="00945EAA" w:rsidRPr="00755C21">
        <w:rPr>
          <w:rFonts w:ascii="Times New Roman" w:hAnsi="Times New Roman" w:cs="Times New Roman"/>
          <w:color w:val="7030A0"/>
          <w:sz w:val="24"/>
          <w:szCs w:val="24"/>
        </w:rPr>
        <w:t>were requesting return to the UK (</w:t>
      </w:r>
      <w:r w:rsidR="004871FB" w:rsidRPr="00755C21">
        <w:rPr>
          <w:rFonts w:ascii="Times New Roman" w:hAnsi="Times New Roman" w:cs="Times New Roman"/>
          <w:color w:val="7030A0"/>
          <w:sz w:val="24"/>
          <w:szCs w:val="24"/>
        </w:rPr>
        <w:t>ten to England and three to Northern Ireland</w:t>
      </w:r>
      <w:r w:rsidR="00945EAA" w:rsidRPr="00755C21">
        <w:rPr>
          <w:rFonts w:ascii="Times New Roman" w:hAnsi="Times New Roman" w:cs="Times New Roman"/>
          <w:color w:val="7030A0"/>
          <w:sz w:val="24"/>
          <w:szCs w:val="24"/>
        </w:rPr>
        <w:t>)</w:t>
      </w:r>
      <w:r w:rsidR="004871FB" w:rsidRPr="00755C21">
        <w:rPr>
          <w:rFonts w:ascii="Times New Roman" w:hAnsi="Times New Roman" w:cs="Times New Roman"/>
          <w:color w:val="7030A0"/>
          <w:sz w:val="24"/>
          <w:szCs w:val="24"/>
        </w:rPr>
        <w:t xml:space="preserve">. Thus, in practice, the use of the </w:t>
      </w:r>
      <w:r w:rsidR="00063C14" w:rsidRPr="00755C21">
        <w:rPr>
          <w:rFonts w:ascii="Times New Roman" w:hAnsi="Times New Roman" w:cs="Times New Roman"/>
          <w:color w:val="7030A0"/>
          <w:sz w:val="24"/>
          <w:szCs w:val="24"/>
        </w:rPr>
        <w:t>HCAC</w:t>
      </w:r>
      <w:r w:rsidR="004871FB" w:rsidRPr="00755C21">
        <w:rPr>
          <w:rFonts w:ascii="Times New Roman" w:hAnsi="Times New Roman" w:cs="Times New Roman"/>
          <w:color w:val="7030A0"/>
          <w:sz w:val="24"/>
          <w:szCs w:val="24"/>
        </w:rPr>
        <w:t xml:space="preserve"> as between Ireland and Scotland has been (at the Irish end) very limited (at least as far as is revealed by the </w:t>
      </w:r>
      <w:r w:rsidRPr="00755C21">
        <w:rPr>
          <w:rFonts w:ascii="Times New Roman" w:hAnsi="Times New Roman" w:cs="Times New Roman"/>
          <w:color w:val="7030A0"/>
          <w:sz w:val="24"/>
          <w:szCs w:val="24"/>
        </w:rPr>
        <w:t xml:space="preserve">published </w:t>
      </w:r>
      <w:r w:rsidR="004871FB" w:rsidRPr="00755C21">
        <w:rPr>
          <w:rFonts w:ascii="Times New Roman" w:hAnsi="Times New Roman" w:cs="Times New Roman"/>
          <w:color w:val="7030A0"/>
          <w:sz w:val="24"/>
          <w:szCs w:val="24"/>
        </w:rPr>
        <w:t xml:space="preserve">case-law). </w:t>
      </w:r>
      <w:r w:rsidR="008566E2" w:rsidRPr="00755C21">
        <w:rPr>
          <w:rFonts w:ascii="Times New Roman" w:hAnsi="Times New Roman" w:cs="Times New Roman"/>
          <w:color w:val="7030A0"/>
          <w:sz w:val="24"/>
          <w:szCs w:val="24"/>
        </w:rPr>
        <w:t xml:space="preserve">  </w:t>
      </w:r>
    </w:p>
    <w:p w14:paraId="587EA2BA" w14:textId="77777777" w:rsidR="008566E2" w:rsidRDefault="008566E2" w:rsidP="008A76E4">
      <w:pPr>
        <w:pStyle w:val="Heading2"/>
        <w:jc w:val="both"/>
      </w:pPr>
    </w:p>
    <w:p w14:paraId="3D53210A" w14:textId="5EED811A" w:rsidR="002B1625" w:rsidRDefault="00E215E8" w:rsidP="008A76E4">
      <w:pPr>
        <w:pStyle w:val="Heading2"/>
        <w:jc w:val="both"/>
      </w:pPr>
      <w:r>
        <w:t>Article 13</w:t>
      </w:r>
      <w:r w:rsidR="00DA5030">
        <w:t>(1)(b)</w:t>
      </w:r>
    </w:p>
    <w:p w14:paraId="116804CD" w14:textId="77777777" w:rsidR="00DA5030" w:rsidRPr="00DA5030" w:rsidRDefault="00DA5030" w:rsidP="008A76E4">
      <w:pPr>
        <w:jc w:val="both"/>
      </w:pPr>
    </w:p>
    <w:p w14:paraId="0C559EA4" w14:textId="3386E8E2" w:rsidR="00DE0A7A" w:rsidRDefault="00DE0A7A" w:rsidP="008A76E4">
      <w:pPr>
        <w:pStyle w:val="ListParagraph"/>
        <w:numPr>
          <w:ilvl w:val="0"/>
          <w:numId w:val="8"/>
        </w:numPr>
        <w:jc w:val="both"/>
        <w:rPr>
          <w:rFonts w:ascii="Times New Roman" w:hAnsi="Times New Roman" w:cs="Times New Roman"/>
        </w:rPr>
      </w:pPr>
      <w:r w:rsidRPr="00DE0A7A">
        <w:rPr>
          <w:rFonts w:ascii="Times New Roman" w:hAnsi="Times New Roman" w:cs="Times New Roman"/>
        </w:rPr>
        <w:t xml:space="preserve">Are you aware of how often the </w:t>
      </w:r>
      <w:r>
        <w:rPr>
          <w:rFonts w:ascii="Times New Roman" w:hAnsi="Times New Roman" w:cs="Times New Roman"/>
        </w:rPr>
        <w:t xml:space="preserve">“grave risk of harm” </w:t>
      </w:r>
      <w:r w:rsidRPr="00DE0A7A">
        <w:rPr>
          <w:rFonts w:ascii="Times New Roman" w:hAnsi="Times New Roman" w:cs="Times New Roman"/>
        </w:rPr>
        <w:t>defence</w:t>
      </w:r>
      <w:r>
        <w:rPr>
          <w:rFonts w:ascii="Times New Roman" w:hAnsi="Times New Roman" w:cs="Times New Roman"/>
        </w:rPr>
        <w:t xml:space="preserve"> </w:t>
      </w:r>
      <w:r w:rsidRPr="003F1C58">
        <w:rPr>
          <w:rFonts w:ascii="Times New Roman" w:hAnsi="Times New Roman" w:cs="Times New Roman"/>
        </w:rPr>
        <w:t xml:space="preserve">under Article 13(1)(b) </w:t>
      </w:r>
      <w:r w:rsidRPr="00DE0A7A">
        <w:rPr>
          <w:rFonts w:ascii="Times New Roman" w:hAnsi="Times New Roman" w:cs="Times New Roman"/>
        </w:rPr>
        <w:t>is used successfully</w:t>
      </w:r>
      <w:r>
        <w:rPr>
          <w:rFonts w:ascii="Times New Roman" w:hAnsi="Times New Roman" w:cs="Times New Roman"/>
        </w:rPr>
        <w:t xml:space="preserve"> in your jurisdiction?</w:t>
      </w:r>
      <w:r w:rsidR="0023605C">
        <w:rPr>
          <w:rFonts w:ascii="Times New Roman" w:hAnsi="Times New Roman" w:cs="Times New Roman"/>
        </w:rPr>
        <w:t xml:space="preserve"> If so, please comment on the frequency of successful defences under Article 13(1)(b) in your jurisdiction.</w:t>
      </w:r>
    </w:p>
    <w:p w14:paraId="59A0F84C" w14:textId="0F625F6B" w:rsidR="008566E2" w:rsidRDefault="008566E2" w:rsidP="008566E2">
      <w:pPr>
        <w:pStyle w:val="ListParagraph"/>
        <w:jc w:val="both"/>
        <w:rPr>
          <w:rFonts w:ascii="Times New Roman" w:hAnsi="Times New Roman" w:cs="Times New Roman"/>
        </w:rPr>
      </w:pPr>
    </w:p>
    <w:p w14:paraId="4BF33D40" w14:textId="6FFA4B2B" w:rsidR="008566E2" w:rsidRPr="00570FE0" w:rsidRDefault="008566E2" w:rsidP="00570FE0">
      <w:pPr>
        <w:jc w:val="both"/>
        <w:rPr>
          <w:rFonts w:ascii="Times New Roman" w:hAnsi="Times New Roman" w:cs="Times New Roman"/>
          <w:color w:val="7030A0"/>
        </w:rPr>
      </w:pPr>
      <w:r w:rsidRPr="00570FE0">
        <w:rPr>
          <w:rFonts w:ascii="Times New Roman" w:hAnsi="Times New Roman" w:cs="Times New Roman"/>
          <w:color w:val="7030A0"/>
        </w:rPr>
        <w:t>The grave risk defence is not often used successfully in Ireland</w:t>
      </w:r>
      <w:r w:rsidR="00E644D2" w:rsidRPr="00570FE0">
        <w:rPr>
          <w:rFonts w:ascii="Times New Roman" w:hAnsi="Times New Roman" w:cs="Times New Roman"/>
          <w:color w:val="7030A0"/>
        </w:rPr>
        <w:t>.</w:t>
      </w:r>
      <w:r w:rsidRPr="00570FE0">
        <w:rPr>
          <w:rFonts w:ascii="Times New Roman" w:hAnsi="Times New Roman" w:cs="Times New Roman"/>
          <w:color w:val="7030A0"/>
        </w:rPr>
        <w:t xml:space="preserve"> This is illustrated by the following:</w:t>
      </w:r>
    </w:p>
    <w:p w14:paraId="728E44E7" w14:textId="1FAB7D15" w:rsidR="008566E2" w:rsidRDefault="008566E2" w:rsidP="008566E2">
      <w:pPr>
        <w:pStyle w:val="ListParagraph"/>
        <w:numPr>
          <w:ilvl w:val="0"/>
          <w:numId w:val="20"/>
        </w:numPr>
        <w:jc w:val="both"/>
        <w:rPr>
          <w:rFonts w:ascii="Times New Roman" w:hAnsi="Times New Roman" w:cs="Times New Roman"/>
          <w:color w:val="7030A0"/>
        </w:rPr>
      </w:pPr>
      <w:r w:rsidRPr="008566E2">
        <w:rPr>
          <w:rFonts w:ascii="Times New Roman" w:hAnsi="Times New Roman" w:cs="Times New Roman"/>
          <w:color w:val="7030A0"/>
        </w:rPr>
        <w:t>The grave risk defence was a live issue</w:t>
      </w:r>
      <w:r>
        <w:rPr>
          <w:rFonts w:ascii="Times New Roman" w:hAnsi="Times New Roman" w:cs="Times New Roman"/>
          <w:color w:val="7030A0"/>
        </w:rPr>
        <w:t xml:space="preserve"> in 11 out of the 22 </w:t>
      </w:r>
      <w:r w:rsidR="00772D54">
        <w:rPr>
          <w:rFonts w:ascii="Times New Roman" w:hAnsi="Times New Roman" w:cs="Times New Roman"/>
          <w:color w:val="7030A0"/>
        </w:rPr>
        <w:t xml:space="preserve">HCAC </w:t>
      </w:r>
      <w:r>
        <w:rPr>
          <w:rFonts w:ascii="Times New Roman" w:hAnsi="Times New Roman" w:cs="Times New Roman"/>
          <w:color w:val="7030A0"/>
        </w:rPr>
        <w:t>appeals to come before the Irish Supreme Court</w:t>
      </w:r>
      <w:r w:rsidR="00772D54">
        <w:rPr>
          <w:rFonts w:ascii="Times New Roman" w:hAnsi="Times New Roman" w:cs="Times New Roman"/>
          <w:color w:val="7030A0"/>
        </w:rPr>
        <w:t xml:space="preserve"> to date (1992-2019)</w:t>
      </w:r>
      <w:r>
        <w:rPr>
          <w:rFonts w:ascii="Times New Roman" w:hAnsi="Times New Roman" w:cs="Times New Roman"/>
          <w:color w:val="7030A0"/>
        </w:rPr>
        <w:t xml:space="preserve">. In the 11 cases in which grave risk was raised, </w:t>
      </w:r>
      <w:r w:rsidR="00F35C0F">
        <w:rPr>
          <w:rFonts w:ascii="Times New Roman" w:hAnsi="Times New Roman" w:cs="Times New Roman"/>
          <w:color w:val="7030A0"/>
        </w:rPr>
        <w:t>it was found to justify non-return in 3 cases. In the first of the 3 (</w:t>
      </w:r>
      <w:r w:rsidR="00F35C0F" w:rsidRPr="00F673AD">
        <w:rPr>
          <w:rFonts w:ascii="Times New Roman" w:hAnsi="Times New Roman" w:cs="Times New Roman"/>
          <w:i/>
          <w:iCs/>
          <w:color w:val="7030A0"/>
        </w:rPr>
        <w:t>PF v MF</w:t>
      </w:r>
      <w:r w:rsidR="00F673AD">
        <w:rPr>
          <w:rFonts w:ascii="Times New Roman" w:hAnsi="Times New Roman" w:cs="Times New Roman"/>
          <w:color w:val="7030A0"/>
        </w:rPr>
        <w:t>, 13 Jan 1993</w:t>
      </w:r>
      <w:r w:rsidR="00F35C0F">
        <w:rPr>
          <w:rFonts w:ascii="Times New Roman" w:hAnsi="Times New Roman" w:cs="Times New Roman"/>
          <w:color w:val="7030A0"/>
        </w:rPr>
        <w:t xml:space="preserve">) grave risk was accepted in circumstances where the left-behind father </w:t>
      </w:r>
      <w:r w:rsidR="001D03A7">
        <w:rPr>
          <w:rFonts w:ascii="Times New Roman" w:hAnsi="Times New Roman" w:cs="Times New Roman"/>
          <w:color w:val="7030A0"/>
        </w:rPr>
        <w:t xml:space="preserve">in the US </w:t>
      </w:r>
      <w:r w:rsidR="00F35C0F">
        <w:rPr>
          <w:rFonts w:ascii="Times New Roman" w:hAnsi="Times New Roman" w:cs="Times New Roman"/>
          <w:color w:val="7030A0"/>
        </w:rPr>
        <w:t xml:space="preserve">had </w:t>
      </w:r>
      <w:r w:rsidR="00F673AD">
        <w:rPr>
          <w:rFonts w:ascii="Times New Roman" w:hAnsi="Times New Roman" w:cs="Times New Roman"/>
          <w:color w:val="7030A0"/>
        </w:rPr>
        <w:t xml:space="preserve">previously </w:t>
      </w:r>
      <w:r w:rsidR="00F35C0F">
        <w:rPr>
          <w:rFonts w:ascii="Times New Roman" w:hAnsi="Times New Roman" w:cs="Times New Roman"/>
          <w:color w:val="7030A0"/>
        </w:rPr>
        <w:t xml:space="preserve">failed to comply with </w:t>
      </w:r>
      <w:r w:rsidR="00F673AD">
        <w:rPr>
          <w:rFonts w:ascii="Times New Roman" w:hAnsi="Times New Roman" w:cs="Times New Roman"/>
          <w:color w:val="7030A0"/>
        </w:rPr>
        <w:t xml:space="preserve">US </w:t>
      </w:r>
      <w:r w:rsidR="00F35C0F">
        <w:rPr>
          <w:rFonts w:ascii="Times New Roman" w:hAnsi="Times New Roman" w:cs="Times New Roman"/>
          <w:color w:val="7030A0"/>
        </w:rPr>
        <w:t>orders for maintenance</w:t>
      </w:r>
      <w:r w:rsidR="00F673AD">
        <w:rPr>
          <w:rFonts w:ascii="Times New Roman" w:hAnsi="Times New Roman" w:cs="Times New Roman"/>
          <w:color w:val="7030A0"/>
        </w:rPr>
        <w:t xml:space="preserve"> and vacating the family home and where there was uncontested evidence of domestic violence</w:t>
      </w:r>
      <w:r w:rsidR="00F35C0F">
        <w:rPr>
          <w:rFonts w:ascii="Times New Roman" w:hAnsi="Times New Roman" w:cs="Times New Roman"/>
          <w:color w:val="7030A0"/>
        </w:rPr>
        <w:t>. In the second case (</w:t>
      </w:r>
      <w:r w:rsidR="00F35C0F" w:rsidRPr="004E786C">
        <w:rPr>
          <w:rFonts w:ascii="Times New Roman" w:hAnsi="Times New Roman" w:cs="Times New Roman"/>
          <w:i/>
          <w:iCs/>
          <w:color w:val="7030A0"/>
        </w:rPr>
        <w:t xml:space="preserve">TM v MD </w:t>
      </w:r>
      <w:r w:rsidR="004E786C">
        <w:rPr>
          <w:rFonts w:ascii="Times New Roman" w:hAnsi="Times New Roman" w:cs="Times New Roman"/>
          <w:color w:val="7030A0"/>
        </w:rPr>
        <w:t>[2000] 1 IR 149</w:t>
      </w:r>
      <w:r w:rsidR="009B0433">
        <w:rPr>
          <w:rFonts w:ascii="Times New Roman" w:hAnsi="Times New Roman" w:cs="Times New Roman"/>
          <w:color w:val="7030A0"/>
        </w:rPr>
        <w:t>)</w:t>
      </w:r>
      <w:r w:rsidR="00F35C0F">
        <w:rPr>
          <w:rFonts w:ascii="Times New Roman" w:hAnsi="Times New Roman" w:cs="Times New Roman"/>
          <w:color w:val="7030A0"/>
        </w:rPr>
        <w:t>, grave risk was established where child</w:t>
      </w:r>
      <w:r w:rsidR="004E786C">
        <w:rPr>
          <w:rFonts w:ascii="Times New Roman" w:hAnsi="Times New Roman" w:cs="Times New Roman"/>
          <w:color w:val="7030A0"/>
        </w:rPr>
        <w:t>ren</w:t>
      </w:r>
      <w:r w:rsidR="00F35C0F">
        <w:rPr>
          <w:rFonts w:ascii="Times New Roman" w:hAnsi="Times New Roman" w:cs="Times New Roman"/>
          <w:color w:val="7030A0"/>
        </w:rPr>
        <w:t xml:space="preserve"> had been taken </w:t>
      </w:r>
      <w:r w:rsidR="001D03A7">
        <w:rPr>
          <w:rFonts w:ascii="Times New Roman" w:hAnsi="Times New Roman" w:cs="Times New Roman"/>
          <w:color w:val="7030A0"/>
        </w:rPr>
        <w:t xml:space="preserve">from England </w:t>
      </w:r>
      <w:r w:rsidR="00F35C0F">
        <w:rPr>
          <w:rFonts w:ascii="Times New Roman" w:hAnsi="Times New Roman" w:cs="Times New Roman"/>
          <w:color w:val="7030A0"/>
        </w:rPr>
        <w:t xml:space="preserve">to Ireland by </w:t>
      </w:r>
      <w:r w:rsidR="004E786C">
        <w:rPr>
          <w:rFonts w:ascii="Times New Roman" w:hAnsi="Times New Roman" w:cs="Times New Roman"/>
          <w:color w:val="7030A0"/>
        </w:rPr>
        <w:t>the</w:t>
      </w:r>
      <w:r w:rsidR="00F35C0F">
        <w:rPr>
          <w:rFonts w:ascii="Times New Roman" w:hAnsi="Times New Roman" w:cs="Times New Roman"/>
          <w:color w:val="7030A0"/>
        </w:rPr>
        <w:t xml:space="preserve"> Irish grandmother, in circumstances where </w:t>
      </w:r>
      <w:r w:rsidR="00AF42A5">
        <w:rPr>
          <w:rFonts w:ascii="Times New Roman" w:hAnsi="Times New Roman" w:cs="Times New Roman"/>
          <w:color w:val="7030A0"/>
        </w:rPr>
        <w:t xml:space="preserve">it seemed </w:t>
      </w:r>
      <w:r w:rsidR="00F35C0F">
        <w:rPr>
          <w:rFonts w:ascii="Times New Roman" w:hAnsi="Times New Roman" w:cs="Times New Roman"/>
          <w:color w:val="7030A0"/>
        </w:rPr>
        <w:t>neither parent was able to care for the child</w:t>
      </w:r>
      <w:r w:rsidR="004E786C">
        <w:rPr>
          <w:rFonts w:ascii="Times New Roman" w:hAnsi="Times New Roman" w:cs="Times New Roman"/>
          <w:color w:val="7030A0"/>
        </w:rPr>
        <w:t>ren (and where there was evidence of domestic violence and alcoholism)</w:t>
      </w:r>
      <w:r w:rsidR="001D03A7">
        <w:rPr>
          <w:rFonts w:ascii="Times New Roman" w:hAnsi="Times New Roman" w:cs="Times New Roman"/>
          <w:color w:val="7030A0"/>
        </w:rPr>
        <w:t>.</w:t>
      </w:r>
      <w:r w:rsidR="00F35C0F">
        <w:rPr>
          <w:rFonts w:ascii="Times New Roman" w:hAnsi="Times New Roman" w:cs="Times New Roman"/>
          <w:color w:val="7030A0"/>
        </w:rPr>
        <w:t xml:space="preserve"> In the third and final case </w:t>
      </w:r>
      <w:proofErr w:type="gramStart"/>
      <w:r w:rsidR="00F35C0F">
        <w:rPr>
          <w:rFonts w:ascii="Times New Roman" w:hAnsi="Times New Roman" w:cs="Times New Roman"/>
          <w:color w:val="7030A0"/>
        </w:rPr>
        <w:t>where</w:t>
      </w:r>
      <w:proofErr w:type="gramEnd"/>
      <w:r w:rsidR="00F35C0F">
        <w:rPr>
          <w:rFonts w:ascii="Times New Roman" w:hAnsi="Times New Roman" w:cs="Times New Roman"/>
          <w:color w:val="7030A0"/>
        </w:rPr>
        <w:t xml:space="preserve"> grave risk was successfully invoked (</w:t>
      </w:r>
      <w:r w:rsidR="00F35C0F" w:rsidRPr="006C38B2">
        <w:rPr>
          <w:rFonts w:ascii="Times New Roman" w:hAnsi="Times New Roman" w:cs="Times New Roman"/>
          <w:i/>
          <w:iCs/>
          <w:color w:val="7030A0"/>
        </w:rPr>
        <w:t>MS v AR</w:t>
      </w:r>
      <w:r w:rsidR="00D84E17">
        <w:rPr>
          <w:rFonts w:ascii="Times New Roman" w:hAnsi="Times New Roman" w:cs="Times New Roman"/>
          <w:color w:val="7030A0"/>
        </w:rPr>
        <w:t xml:space="preserve"> </w:t>
      </w:r>
      <w:r w:rsidR="006C38B2">
        <w:rPr>
          <w:rFonts w:ascii="Times New Roman" w:hAnsi="Times New Roman" w:cs="Times New Roman"/>
          <w:color w:val="7030A0"/>
        </w:rPr>
        <w:t>[2019] IESC 10 [30]</w:t>
      </w:r>
      <w:r w:rsidR="00F35C0F">
        <w:rPr>
          <w:rFonts w:ascii="Times New Roman" w:hAnsi="Times New Roman" w:cs="Times New Roman"/>
          <w:color w:val="7030A0"/>
        </w:rPr>
        <w:t xml:space="preserve">), it was based on sibling separation, where the older child had objected to returning (and where the older sibling was not being returned on A 13(2) grounds). </w:t>
      </w:r>
      <w:r w:rsidRPr="008566E2">
        <w:rPr>
          <w:rFonts w:ascii="Times New Roman" w:hAnsi="Times New Roman" w:cs="Times New Roman"/>
          <w:color w:val="7030A0"/>
        </w:rPr>
        <w:t xml:space="preserve"> </w:t>
      </w:r>
    </w:p>
    <w:p w14:paraId="68AB8EC7" w14:textId="598BA82A" w:rsidR="00772D54" w:rsidRDefault="00772D54" w:rsidP="008566E2">
      <w:pPr>
        <w:pStyle w:val="ListParagraph"/>
        <w:numPr>
          <w:ilvl w:val="0"/>
          <w:numId w:val="20"/>
        </w:numPr>
        <w:jc w:val="both"/>
        <w:rPr>
          <w:rFonts w:ascii="Times New Roman" w:hAnsi="Times New Roman" w:cs="Times New Roman"/>
          <w:color w:val="7030A0"/>
        </w:rPr>
      </w:pPr>
      <w:r>
        <w:rPr>
          <w:rFonts w:ascii="Times New Roman" w:hAnsi="Times New Roman" w:cs="Times New Roman"/>
          <w:color w:val="7030A0"/>
        </w:rPr>
        <w:t xml:space="preserve">The grave risk defence was a live issue in 11 out of the 15 HCAC appeals to come before the Irish Court of Appeal to date (2015-2022). In the 11 cases in which grave risk was raised, it was found to justify non-return in only 1 case. This was in </w:t>
      </w:r>
      <w:r w:rsidRPr="00772D54">
        <w:rPr>
          <w:rFonts w:ascii="Times New Roman" w:hAnsi="Times New Roman" w:cs="Times New Roman"/>
          <w:i/>
          <w:iCs/>
          <w:color w:val="7030A0"/>
        </w:rPr>
        <w:t>MS v AR</w:t>
      </w:r>
      <w:r>
        <w:rPr>
          <w:rFonts w:ascii="Times New Roman" w:hAnsi="Times New Roman" w:cs="Times New Roman"/>
          <w:color w:val="7030A0"/>
        </w:rPr>
        <w:t xml:space="preserve"> </w:t>
      </w:r>
      <w:r w:rsidR="00174F47">
        <w:rPr>
          <w:rFonts w:ascii="Times New Roman" w:hAnsi="Times New Roman" w:cs="Times New Roman"/>
          <w:color w:val="7030A0"/>
        </w:rPr>
        <w:t>[2018] IECA 181</w:t>
      </w:r>
      <w:r>
        <w:rPr>
          <w:rFonts w:ascii="Times New Roman" w:hAnsi="Times New Roman" w:cs="Times New Roman"/>
          <w:color w:val="7030A0"/>
        </w:rPr>
        <w:t xml:space="preserve">– based on sibling separation – confirmed on appeal by the Supreme Court – see </w:t>
      </w:r>
      <w:r w:rsidRPr="00772D54">
        <w:rPr>
          <w:rFonts w:ascii="Times New Roman" w:hAnsi="Times New Roman" w:cs="Times New Roman"/>
          <w:i/>
          <w:iCs/>
          <w:color w:val="7030A0"/>
        </w:rPr>
        <w:t>MS v AR</w:t>
      </w:r>
      <w:r>
        <w:rPr>
          <w:rFonts w:ascii="Times New Roman" w:hAnsi="Times New Roman" w:cs="Times New Roman"/>
          <w:color w:val="7030A0"/>
        </w:rPr>
        <w:t xml:space="preserve"> [2019] IESC 10 discussed above.</w:t>
      </w:r>
      <w:r w:rsidR="001C132B">
        <w:rPr>
          <w:rFonts w:ascii="Times New Roman" w:hAnsi="Times New Roman" w:cs="Times New Roman"/>
          <w:color w:val="7030A0"/>
        </w:rPr>
        <w:t xml:space="preserve"> </w:t>
      </w:r>
    </w:p>
    <w:p w14:paraId="7E4969D0" w14:textId="7DDFB07C" w:rsidR="008566E2" w:rsidRPr="00A262EB" w:rsidRDefault="00063C14" w:rsidP="00FC6406">
      <w:pPr>
        <w:pStyle w:val="ListParagraph"/>
        <w:numPr>
          <w:ilvl w:val="0"/>
          <w:numId w:val="20"/>
        </w:numPr>
        <w:jc w:val="both"/>
        <w:rPr>
          <w:rFonts w:ascii="Times New Roman" w:hAnsi="Times New Roman" w:cs="Times New Roman"/>
          <w:color w:val="7030A0"/>
        </w:rPr>
      </w:pPr>
      <w:r>
        <w:rPr>
          <w:rFonts w:ascii="Times New Roman" w:hAnsi="Times New Roman" w:cs="Times New Roman"/>
          <w:color w:val="7030A0"/>
        </w:rPr>
        <w:lastRenderedPageBreak/>
        <w:t xml:space="preserve">The grave risk defence was a live issue in </w:t>
      </w:r>
      <w:r w:rsidR="00FC6406">
        <w:rPr>
          <w:rFonts w:ascii="Times New Roman" w:hAnsi="Times New Roman" w:cs="Times New Roman"/>
          <w:color w:val="7030A0"/>
        </w:rPr>
        <w:t xml:space="preserve">32 of the 36 HCAC return applications dealt with by the Irish High Court since Jan 2018. In the 32 cases where it was raised, it was found to justify non-return in 4 cases. </w:t>
      </w:r>
      <w:r w:rsidR="00AE430F">
        <w:rPr>
          <w:rFonts w:ascii="Times New Roman" w:hAnsi="Times New Roman" w:cs="Times New Roman"/>
          <w:color w:val="7030A0"/>
        </w:rPr>
        <w:t xml:space="preserve">The first of these was </w:t>
      </w:r>
      <w:r w:rsidR="00AE430F" w:rsidRPr="00AE430F">
        <w:rPr>
          <w:rFonts w:ascii="Times New Roman" w:hAnsi="Times New Roman" w:cs="Times New Roman"/>
          <w:i/>
          <w:iCs/>
          <w:color w:val="7030A0"/>
        </w:rPr>
        <w:t xml:space="preserve">DH v LH </w:t>
      </w:r>
      <w:r w:rsidR="00AE430F">
        <w:rPr>
          <w:rFonts w:ascii="Times New Roman" w:hAnsi="Times New Roman" w:cs="Times New Roman"/>
          <w:color w:val="7030A0"/>
        </w:rPr>
        <w:t>[2018] IEHC 317 where a non-return order</w:t>
      </w:r>
      <w:r w:rsidR="009B0433">
        <w:rPr>
          <w:rFonts w:ascii="Times New Roman" w:hAnsi="Times New Roman" w:cs="Times New Roman"/>
          <w:color w:val="7030A0"/>
        </w:rPr>
        <w:t xml:space="preserve"> (NRO)</w:t>
      </w:r>
      <w:r w:rsidR="00AE430F">
        <w:rPr>
          <w:rFonts w:ascii="Times New Roman" w:hAnsi="Times New Roman" w:cs="Times New Roman"/>
          <w:color w:val="7030A0"/>
        </w:rPr>
        <w:t xml:space="preserve"> was made in circumstances where the abducting mother had secure employment and accommodation in Ireland, and where there were no detailed/credible undertakings as to ensure the safe return of the child</w:t>
      </w:r>
      <w:r w:rsidR="006E7CD2">
        <w:rPr>
          <w:rFonts w:ascii="Times New Roman" w:hAnsi="Times New Roman" w:cs="Times New Roman"/>
          <w:color w:val="7030A0"/>
        </w:rPr>
        <w:t>ren</w:t>
      </w:r>
      <w:r w:rsidR="00AE430F">
        <w:rPr>
          <w:rFonts w:ascii="Times New Roman" w:hAnsi="Times New Roman" w:cs="Times New Roman"/>
          <w:color w:val="7030A0"/>
        </w:rPr>
        <w:t xml:space="preserve"> and abducting mother</w:t>
      </w:r>
      <w:r w:rsidR="002C2F42">
        <w:rPr>
          <w:rFonts w:ascii="Times New Roman" w:hAnsi="Times New Roman" w:cs="Times New Roman"/>
          <w:color w:val="7030A0"/>
        </w:rPr>
        <w:t xml:space="preserve"> (no clear guarantee of financial support/accommodation)</w:t>
      </w:r>
      <w:r w:rsidR="00AE430F">
        <w:rPr>
          <w:rFonts w:ascii="Times New Roman" w:hAnsi="Times New Roman" w:cs="Times New Roman"/>
          <w:color w:val="7030A0"/>
        </w:rPr>
        <w:t xml:space="preserve">. The second </w:t>
      </w:r>
      <w:r w:rsidR="00EA45D0">
        <w:rPr>
          <w:rFonts w:ascii="Times New Roman" w:hAnsi="Times New Roman" w:cs="Times New Roman"/>
          <w:color w:val="7030A0"/>
        </w:rPr>
        <w:t xml:space="preserve">case </w:t>
      </w:r>
      <w:r w:rsidR="00AE430F">
        <w:rPr>
          <w:rFonts w:ascii="Times New Roman" w:hAnsi="Times New Roman" w:cs="Times New Roman"/>
          <w:color w:val="7030A0"/>
        </w:rPr>
        <w:t xml:space="preserve">was </w:t>
      </w:r>
      <w:r w:rsidR="00AE430F" w:rsidRPr="00AE430F">
        <w:rPr>
          <w:rFonts w:ascii="Times New Roman" w:hAnsi="Times New Roman" w:cs="Times New Roman"/>
          <w:i/>
          <w:iCs/>
          <w:color w:val="7030A0"/>
        </w:rPr>
        <w:t>ZC v AG</w:t>
      </w:r>
      <w:r w:rsidR="00AE430F">
        <w:rPr>
          <w:rFonts w:ascii="Times New Roman" w:hAnsi="Times New Roman" w:cs="Times New Roman"/>
          <w:color w:val="7030A0"/>
        </w:rPr>
        <w:t xml:space="preserve"> </w:t>
      </w:r>
      <w:r w:rsidR="002C2F42">
        <w:rPr>
          <w:rFonts w:ascii="Times New Roman" w:hAnsi="Times New Roman" w:cs="Times New Roman"/>
          <w:color w:val="7030A0"/>
        </w:rPr>
        <w:t>(14 May 2020)</w:t>
      </w:r>
      <w:r w:rsidR="00AE430F">
        <w:rPr>
          <w:rFonts w:ascii="Times New Roman" w:hAnsi="Times New Roman" w:cs="Times New Roman"/>
          <w:color w:val="7030A0"/>
        </w:rPr>
        <w:t xml:space="preserve"> where non-return was </w:t>
      </w:r>
      <w:r w:rsidR="002C2F42">
        <w:rPr>
          <w:rFonts w:ascii="Times New Roman" w:hAnsi="Times New Roman" w:cs="Times New Roman"/>
          <w:color w:val="7030A0"/>
        </w:rPr>
        <w:t xml:space="preserve">found to be </w:t>
      </w:r>
      <w:r w:rsidR="00AE430F">
        <w:rPr>
          <w:rFonts w:ascii="Times New Roman" w:hAnsi="Times New Roman" w:cs="Times New Roman"/>
          <w:color w:val="7030A0"/>
        </w:rPr>
        <w:t xml:space="preserve">justified in circumstances of Covid 19, because of the </w:t>
      </w:r>
      <w:r w:rsidR="00EA45D0">
        <w:rPr>
          <w:rFonts w:ascii="Times New Roman" w:hAnsi="Times New Roman" w:cs="Times New Roman"/>
          <w:color w:val="7030A0"/>
        </w:rPr>
        <w:t xml:space="preserve">health </w:t>
      </w:r>
      <w:r w:rsidR="00AE430F">
        <w:rPr>
          <w:rFonts w:ascii="Times New Roman" w:hAnsi="Times New Roman" w:cs="Times New Roman"/>
          <w:color w:val="7030A0"/>
        </w:rPr>
        <w:t xml:space="preserve">risks involved in international travel, and </w:t>
      </w:r>
      <w:proofErr w:type="gramStart"/>
      <w:r w:rsidR="00AE430F">
        <w:rPr>
          <w:rFonts w:ascii="Times New Roman" w:hAnsi="Times New Roman" w:cs="Times New Roman"/>
          <w:color w:val="7030A0"/>
        </w:rPr>
        <w:t>in particular where</w:t>
      </w:r>
      <w:proofErr w:type="gramEnd"/>
      <w:r w:rsidR="00AE430F">
        <w:rPr>
          <w:rFonts w:ascii="Times New Roman" w:hAnsi="Times New Roman" w:cs="Times New Roman"/>
          <w:color w:val="7030A0"/>
        </w:rPr>
        <w:t xml:space="preserve"> the abducting mother was pregnant and therefore reluctant to travel (in a context of a history of miscarriages). This </w:t>
      </w:r>
      <w:r w:rsidR="00EA45D0">
        <w:rPr>
          <w:rFonts w:ascii="Times New Roman" w:hAnsi="Times New Roman" w:cs="Times New Roman"/>
          <w:color w:val="7030A0"/>
        </w:rPr>
        <w:t>decision</w:t>
      </w:r>
      <w:r w:rsidR="00AE430F">
        <w:rPr>
          <w:rFonts w:ascii="Times New Roman" w:hAnsi="Times New Roman" w:cs="Times New Roman"/>
          <w:color w:val="7030A0"/>
        </w:rPr>
        <w:t xml:space="preserve"> was overturned on appeal (see</w:t>
      </w:r>
      <w:r w:rsidR="00EA45D0">
        <w:rPr>
          <w:rFonts w:ascii="Times New Roman" w:hAnsi="Times New Roman" w:cs="Times New Roman"/>
          <w:color w:val="7030A0"/>
        </w:rPr>
        <w:t xml:space="preserve"> </w:t>
      </w:r>
      <w:r w:rsidR="00EA45D0" w:rsidRPr="00EA45D0">
        <w:rPr>
          <w:rFonts w:ascii="Times New Roman" w:hAnsi="Times New Roman" w:cs="Times New Roman"/>
          <w:i/>
          <w:iCs/>
          <w:color w:val="7030A0"/>
        </w:rPr>
        <w:t>C v G</w:t>
      </w:r>
      <w:r w:rsidR="00EA45D0">
        <w:rPr>
          <w:rFonts w:ascii="Times New Roman" w:hAnsi="Times New Roman" w:cs="Times New Roman"/>
          <w:color w:val="7030A0"/>
        </w:rPr>
        <w:t xml:space="preserve"> [2020] IECA 233 and a return order made</w:t>
      </w:r>
      <w:r w:rsidR="00AE430F">
        <w:rPr>
          <w:rFonts w:ascii="Times New Roman" w:hAnsi="Times New Roman" w:cs="Times New Roman"/>
          <w:color w:val="7030A0"/>
        </w:rPr>
        <w:t>)</w:t>
      </w:r>
      <w:r w:rsidR="00EA45D0">
        <w:rPr>
          <w:rFonts w:ascii="Times New Roman" w:hAnsi="Times New Roman" w:cs="Times New Roman"/>
          <w:color w:val="7030A0"/>
        </w:rPr>
        <w:t>.</w:t>
      </w:r>
      <w:r w:rsidR="00AE430F">
        <w:rPr>
          <w:rFonts w:ascii="Times New Roman" w:hAnsi="Times New Roman" w:cs="Times New Roman"/>
          <w:color w:val="7030A0"/>
        </w:rPr>
        <w:t xml:space="preserve"> The third </w:t>
      </w:r>
      <w:r w:rsidR="00EA45D0">
        <w:rPr>
          <w:rFonts w:ascii="Times New Roman" w:hAnsi="Times New Roman" w:cs="Times New Roman"/>
          <w:color w:val="7030A0"/>
        </w:rPr>
        <w:t xml:space="preserve">of the four High Court </w:t>
      </w:r>
      <w:r w:rsidR="00AE430F">
        <w:rPr>
          <w:rFonts w:ascii="Times New Roman" w:hAnsi="Times New Roman" w:cs="Times New Roman"/>
          <w:color w:val="7030A0"/>
        </w:rPr>
        <w:t>case</w:t>
      </w:r>
      <w:r w:rsidR="00EA45D0">
        <w:rPr>
          <w:rFonts w:ascii="Times New Roman" w:hAnsi="Times New Roman" w:cs="Times New Roman"/>
          <w:color w:val="7030A0"/>
        </w:rPr>
        <w:t>s</w:t>
      </w:r>
      <w:r w:rsidR="00AE430F">
        <w:rPr>
          <w:rFonts w:ascii="Times New Roman" w:hAnsi="Times New Roman" w:cs="Times New Roman"/>
          <w:color w:val="7030A0"/>
        </w:rPr>
        <w:t xml:space="preserve"> was </w:t>
      </w:r>
      <w:r w:rsidR="00AE430F" w:rsidRPr="00EA45D0">
        <w:rPr>
          <w:rFonts w:ascii="Times New Roman" w:hAnsi="Times New Roman" w:cs="Times New Roman"/>
          <w:i/>
          <w:iCs/>
          <w:color w:val="7030A0"/>
        </w:rPr>
        <w:t>AK v US</w:t>
      </w:r>
      <w:r w:rsidR="00AE430F">
        <w:rPr>
          <w:rFonts w:ascii="Times New Roman" w:hAnsi="Times New Roman" w:cs="Times New Roman"/>
          <w:color w:val="7030A0"/>
        </w:rPr>
        <w:t xml:space="preserve"> </w:t>
      </w:r>
      <w:r w:rsidR="00494155">
        <w:rPr>
          <w:rFonts w:ascii="Times New Roman" w:hAnsi="Times New Roman" w:cs="Times New Roman"/>
          <w:color w:val="7030A0"/>
        </w:rPr>
        <w:t>[</w:t>
      </w:r>
      <w:r w:rsidR="00AE430F">
        <w:rPr>
          <w:rFonts w:ascii="Times New Roman" w:hAnsi="Times New Roman" w:cs="Times New Roman"/>
          <w:color w:val="7030A0"/>
        </w:rPr>
        <w:t>2021</w:t>
      </w:r>
      <w:r w:rsidR="00494155">
        <w:rPr>
          <w:rFonts w:ascii="Times New Roman" w:hAnsi="Times New Roman" w:cs="Times New Roman"/>
          <w:color w:val="7030A0"/>
        </w:rPr>
        <w:t>]</w:t>
      </w:r>
      <w:r w:rsidR="00AE430F">
        <w:rPr>
          <w:rFonts w:ascii="Times New Roman" w:hAnsi="Times New Roman" w:cs="Times New Roman"/>
          <w:color w:val="7030A0"/>
        </w:rPr>
        <w:t xml:space="preserve"> </w:t>
      </w:r>
      <w:r w:rsidR="00494155">
        <w:rPr>
          <w:rFonts w:ascii="Times New Roman" w:hAnsi="Times New Roman" w:cs="Times New Roman"/>
          <w:color w:val="7030A0"/>
        </w:rPr>
        <w:t xml:space="preserve">IEHC 845 </w:t>
      </w:r>
      <w:r w:rsidR="00AE430F">
        <w:rPr>
          <w:rFonts w:ascii="Times New Roman" w:hAnsi="Times New Roman" w:cs="Times New Roman"/>
          <w:color w:val="7030A0"/>
        </w:rPr>
        <w:t xml:space="preserve">where </w:t>
      </w:r>
      <w:r w:rsidR="006E7CD2">
        <w:rPr>
          <w:rFonts w:ascii="Times New Roman" w:hAnsi="Times New Roman" w:cs="Times New Roman"/>
          <w:color w:val="7030A0"/>
        </w:rPr>
        <w:t xml:space="preserve">it was not possible to make a </w:t>
      </w:r>
      <w:r w:rsidR="00BA24A7">
        <w:rPr>
          <w:rFonts w:ascii="Times New Roman" w:hAnsi="Times New Roman" w:cs="Times New Roman"/>
          <w:color w:val="7030A0"/>
        </w:rPr>
        <w:t xml:space="preserve">return </w:t>
      </w:r>
      <w:r w:rsidR="00AE430F">
        <w:rPr>
          <w:rFonts w:ascii="Times New Roman" w:hAnsi="Times New Roman" w:cs="Times New Roman"/>
          <w:color w:val="7030A0"/>
        </w:rPr>
        <w:t>order with respect to the youngest child and where a refusal to return the other two (older) children was justified by the need to avoid sibling separation. This</w:t>
      </w:r>
      <w:r w:rsidR="00A262EB">
        <w:rPr>
          <w:rFonts w:ascii="Times New Roman" w:hAnsi="Times New Roman" w:cs="Times New Roman"/>
          <w:color w:val="7030A0"/>
        </w:rPr>
        <w:t xml:space="preserve"> decision was also appealed and on appeal it was confirmed that none of the children should be returned – but </w:t>
      </w:r>
      <w:proofErr w:type="gramStart"/>
      <w:r w:rsidR="00A262EB">
        <w:rPr>
          <w:rFonts w:ascii="Times New Roman" w:hAnsi="Times New Roman" w:cs="Times New Roman"/>
          <w:color w:val="7030A0"/>
        </w:rPr>
        <w:t>on the basis of</w:t>
      </w:r>
      <w:proofErr w:type="gramEnd"/>
      <w:r w:rsidR="00A262EB">
        <w:rPr>
          <w:rFonts w:ascii="Times New Roman" w:hAnsi="Times New Roman" w:cs="Times New Roman"/>
          <w:color w:val="7030A0"/>
        </w:rPr>
        <w:t xml:space="preserve"> their habitual residence in Ireland</w:t>
      </w:r>
      <w:r w:rsidR="000C3269">
        <w:rPr>
          <w:rFonts w:ascii="Times New Roman" w:hAnsi="Times New Roman" w:cs="Times New Roman"/>
          <w:color w:val="7030A0"/>
        </w:rPr>
        <w:t xml:space="preserve"> (see </w:t>
      </w:r>
      <w:r w:rsidR="000C3269" w:rsidRPr="000C3269">
        <w:rPr>
          <w:rFonts w:ascii="Times New Roman" w:hAnsi="Times New Roman" w:cs="Times New Roman"/>
          <w:i/>
          <w:iCs/>
          <w:color w:val="7030A0"/>
        </w:rPr>
        <w:t>AK v US</w:t>
      </w:r>
      <w:r w:rsidR="000C3269">
        <w:rPr>
          <w:rFonts w:ascii="Times New Roman" w:hAnsi="Times New Roman" w:cs="Times New Roman"/>
          <w:color w:val="7030A0"/>
        </w:rPr>
        <w:t xml:space="preserve"> [2022] IECA 65)</w:t>
      </w:r>
      <w:r w:rsidR="00A262EB">
        <w:rPr>
          <w:rFonts w:ascii="Times New Roman" w:hAnsi="Times New Roman" w:cs="Times New Roman"/>
          <w:color w:val="7030A0"/>
        </w:rPr>
        <w:t xml:space="preserve">. The final </w:t>
      </w:r>
      <w:r w:rsidR="00BA24A7">
        <w:rPr>
          <w:rFonts w:ascii="Times New Roman" w:hAnsi="Times New Roman" w:cs="Times New Roman"/>
          <w:color w:val="7030A0"/>
        </w:rPr>
        <w:t xml:space="preserve">of the four High Court </w:t>
      </w:r>
      <w:r w:rsidR="00A262EB">
        <w:rPr>
          <w:rFonts w:ascii="Times New Roman" w:hAnsi="Times New Roman" w:cs="Times New Roman"/>
          <w:color w:val="7030A0"/>
        </w:rPr>
        <w:t>case</w:t>
      </w:r>
      <w:r w:rsidR="00BA24A7">
        <w:rPr>
          <w:rFonts w:ascii="Times New Roman" w:hAnsi="Times New Roman" w:cs="Times New Roman"/>
          <w:color w:val="7030A0"/>
        </w:rPr>
        <w:t>s</w:t>
      </w:r>
      <w:r w:rsidR="00A262EB">
        <w:rPr>
          <w:rFonts w:ascii="Times New Roman" w:hAnsi="Times New Roman" w:cs="Times New Roman"/>
          <w:color w:val="7030A0"/>
        </w:rPr>
        <w:t xml:space="preserve"> was </w:t>
      </w:r>
      <w:r w:rsidR="00A262EB" w:rsidRPr="00A262EB">
        <w:rPr>
          <w:rFonts w:ascii="Times New Roman" w:hAnsi="Times New Roman" w:cs="Times New Roman"/>
          <w:i/>
          <w:iCs/>
          <w:color w:val="7030A0"/>
        </w:rPr>
        <w:t>DB v HC</w:t>
      </w:r>
      <w:r w:rsidR="00A262EB">
        <w:rPr>
          <w:rFonts w:ascii="Times New Roman" w:hAnsi="Times New Roman" w:cs="Times New Roman"/>
          <w:color w:val="7030A0"/>
        </w:rPr>
        <w:t xml:space="preserve"> [2022] IEHC 627 where non-return was found to be justified in circumstances where there w</w:t>
      </w:r>
      <w:r w:rsidR="000C3269">
        <w:rPr>
          <w:rFonts w:ascii="Times New Roman" w:hAnsi="Times New Roman" w:cs="Times New Roman"/>
          <w:color w:val="7030A0"/>
        </w:rPr>
        <w:t>ere detailed allegations</w:t>
      </w:r>
      <w:r w:rsidR="00A262EB">
        <w:rPr>
          <w:rFonts w:ascii="Times New Roman" w:hAnsi="Times New Roman" w:cs="Times New Roman"/>
          <w:color w:val="7030A0"/>
        </w:rPr>
        <w:t xml:space="preserve"> of domestic violence and where a non-molestation order (in the requesting state) had twice been breached. </w:t>
      </w:r>
    </w:p>
    <w:p w14:paraId="36704707" w14:textId="77777777" w:rsidR="008566E2" w:rsidRDefault="008566E2" w:rsidP="008566E2">
      <w:pPr>
        <w:pStyle w:val="ListParagraph"/>
        <w:jc w:val="both"/>
        <w:rPr>
          <w:rFonts w:ascii="Times New Roman" w:hAnsi="Times New Roman" w:cs="Times New Roman"/>
        </w:rPr>
      </w:pPr>
    </w:p>
    <w:p w14:paraId="4BD0721D" w14:textId="7DBFB606" w:rsidR="00446EB7" w:rsidRDefault="00446EB7" w:rsidP="008A76E4">
      <w:pPr>
        <w:pStyle w:val="ListParagraph"/>
        <w:numPr>
          <w:ilvl w:val="0"/>
          <w:numId w:val="8"/>
        </w:numPr>
        <w:jc w:val="both"/>
        <w:rPr>
          <w:rFonts w:ascii="Times New Roman" w:hAnsi="Times New Roman" w:cs="Times New Roman"/>
        </w:rPr>
      </w:pPr>
      <w:r w:rsidRPr="003F1C58">
        <w:rPr>
          <w:rFonts w:ascii="Times New Roman" w:hAnsi="Times New Roman" w:cs="Times New Roman"/>
        </w:rPr>
        <w:t xml:space="preserve">How has </w:t>
      </w:r>
      <w:r w:rsidR="002B1625" w:rsidRPr="003F1C58">
        <w:rPr>
          <w:rFonts w:ascii="Times New Roman" w:hAnsi="Times New Roman" w:cs="Times New Roman"/>
        </w:rPr>
        <w:t xml:space="preserve">the </w:t>
      </w:r>
      <w:r w:rsidRPr="003F1C58">
        <w:rPr>
          <w:rFonts w:ascii="Times New Roman" w:hAnsi="Times New Roman" w:cs="Times New Roman"/>
        </w:rPr>
        <w:t xml:space="preserve">“grave risk of harm” </w:t>
      </w:r>
      <w:r w:rsidR="002B1625" w:rsidRPr="003F1C58">
        <w:rPr>
          <w:rFonts w:ascii="Times New Roman" w:hAnsi="Times New Roman" w:cs="Times New Roman"/>
        </w:rPr>
        <w:t xml:space="preserve">defence under Article 13(1)(b) </w:t>
      </w:r>
      <w:r w:rsidRPr="003F1C58">
        <w:rPr>
          <w:rFonts w:ascii="Times New Roman" w:hAnsi="Times New Roman" w:cs="Times New Roman"/>
        </w:rPr>
        <w:t>been interpreted by the courts of your jurisdiction?</w:t>
      </w:r>
      <w:r w:rsidR="00F77372" w:rsidRPr="003F1C58">
        <w:rPr>
          <w:rFonts w:ascii="Times New Roman" w:hAnsi="Times New Roman" w:cs="Times New Roman"/>
        </w:rPr>
        <w:t xml:space="preserve"> Are there any notable differences in your jurisdiction</w:t>
      </w:r>
      <w:r w:rsidR="0090675B">
        <w:rPr>
          <w:rFonts w:ascii="Times New Roman" w:hAnsi="Times New Roman" w:cs="Times New Roman"/>
        </w:rPr>
        <w:t xml:space="preserve"> </w:t>
      </w:r>
      <w:r w:rsidR="00806199">
        <w:rPr>
          <w:rFonts w:ascii="Times New Roman" w:hAnsi="Times New Roman" w:cs="Times New Roman"/>
        </w:rPr>
        <w:t xml:space="preserve">that you are aware of </w:t>
      </w:r>
      <w:r w:rsidR="0090675B">
        <w:rPr>
          <w:rFonts w:ascii="Times New Roman" w:hAnsi="Times New Roman" w:cs="Times New Roman"/>
        </w:rPr>
        <w:t xml:space="preserve">as opposed to </w:t>
      </w:r>
      <w:r w:rsidR="00DE0A7A">
        <w:rPr>
          <w:rFonts w:ascii="Times New Roman" w:hAnsi="Times New Roman" w:cs="Times New Roman"/>
        </w:rPr>
        <w:t>relevant case-law of the UK Supreme Court</w:t>
      </w:r>
      <w:r w:rsidR="003F0FED">
        <w:rPr>
          <w:rStyle w:val="FootnoteReference"/>
          <w:rFonts w:ascii="Times New Roman" w:hAnsi="Times New Roman" w:cs="Times New Roman"/>
        </w:rPr>
        <w:footnoteReference w:id="1"/>
      </w:r>
      <w:r w:rsidR="00DE0A7A">
        <w:rPr>
          <w:rFonts w:ascii="Times New Roman" w:hAnsi="Times New Roman" w:cs="Times New Roman"/>
        </w:rPr>
        <w:t xml:space="preserve"> and/or the European Court of Human Rights</w:t>
      </w:r>
      <w:r w:rsidR="00002E77">
        <w:rPr>
          <w:rFonts w:ascii="Times New Roman" w:hAnsi="Times New Roman" w:cs="Times New Roman"/>
        </w:rPr>
        <w:t>?</w:t>
      </w:r>
      <w:r w:rsidR="00333568">
        <w:rPr>
          <w:rStyle w:val="FootnoteReference"/>
          <w:rFonts w:ascii="Times New Roman" w:hAnsi="Times New Roman" w:cs="Times New Roman"/>
        </w:rPr>
        <w:footnoteReference w:id="2"/>
      </w:r>
    </w:p>
    <w:p w14:paraId="18F3818F" w14:textId="13B7D5B4" w:rsidR="00CD4D77" w:rsidRPr="00570FE0" w:rsidRDefault="00A635A6" w:rsidP="00570FE0">
      <w:pPr>
        <w:jc w:val="both"/>
        <w:rPr>
          <w:rFonts w:ascii="Times New Roman" w:hAnsi="Times New Roman" w:cs="Times New Roman"/>
          <w:color w:val="7030A0"/>
        </w:rPr>
      </w:pPr>
      <w:r w:rsidRPr="00570FE0">
        <w:rPr>
          <w:rFonts w:ascii="Times New Roman" w:hAnsi="Times New Roman" w:cs="Times New Roman"/>
          <w:color w:val="7030A0"/>
        </w:rPr>
        <w:t xml:space="preserve">See above. </w:t>
      </w:r>
      <w:r w:rsidR="00A72D04" w:rsidRPr="00570FE0">
        <w:rPr>
          <w:rFonts w:ascii="Times New Roman" w:hAnsi="Times New Roman" w:cs="Times New Roman"/>
          <w:color w:val="7030A0"/>
        </w:rPr>
        <w:t>T</w:t>
      </w:r>
      <w:r w:rsidR="009F599D" w:rsidRPr="00570FE0">
        <w:rPr>
          <w:rFonts w:ascii="Times New Roman" w:hAnsi="Times New Roman" w:cs="Times New Roman"/>
          <w:color w:val="7030A0"/>
        </w:rPr>
        <w:t xml:space="preserve">he Irish courts (especially in more recent cases) have adopted a </w:t>
      </w:r>
      <w:r w:rsidR="001C132B" w:rsidRPr="00570FE0">
        <w:rPr>
          <w:rFonts w:ascii="Times New Roman" w:hAnsi="Times New Roman" w:cs="Times New Roman"/>
          <w:color w:val="7030A0"/>
        </w:rPr>
        <w:t xml:space="preserve">very </w:t>
      </w:r>
      <w:r w:rsidR="009F599D" w:rsidRPr="00570FE0">
        <w:rPr>
          <w:rFonts w:ascii="Times New Roman" w:hAnsi="Times New Roman" w:cs="Times New Roman"/>
          <w:color w:val="7030A0"/>
        </w:rPr>
        <w:t>similar approach to the UK Supreme Court. Indeed</w:t>
      </w:r>
      <w:r w:rsidR="006D5527">
        <w:rPr>
          <w:rFonts w:ascii="Times New Roman" w:hAnsi="Times New Roman" w:cs="Times New Roman"/>
          <w:color w:val="7030A0"/>
        </w:rPr>
        <w:t>,</w:t>
      </w:r>
      <w:r w:rsidR="009F599D" w:rsidRPr="00570FE0">
        <w:rPr>
          <w:rFonts w:ascii="Times New Roman" w:hAnsi="Times New Roman" w:cs="Times New Roman"/>
          <w:color w:val="7030A0"/>
        </w:rPr>
        <w:t xml:space="preserve"> in </w:t>
      </w:r>
      <w:r w:rsidR="008C28D9" w:rsidRPr="00570FE0">
        <w:rPr>
          <w:rFonts w:ascii="Times New Roman" w:hAnsi="Times New Roman" w:cs="Times New Roman"/>
          <w:i/>
          <w:iCs/>
          <w:color w:val="7030A0"/>
        </w:rPr>
        <w:t>CT v PS</w:t>
      </w:r>
      <w:r w:rsidR="008C28D9" w:rsidRPr="00570FE0">
        <w:rPr>
          <w:rFonts w:ascii="Times New Roman" w:hAnsi="Times New Roman" w:cs="Times New Roman"/>
          <w:color w:val="7030A0"/>
        </w:rPr>
        <w:t xml:space="preserve"> [2021] IECA 132 [57] ff</w:t>
      </w:r>
      <w:r w:rsidR="009F599D" w:rsidRPr="00570FE0">
        <w:rPr>
          <w:rFonts w:ascii="Times New Roman" w:hAnsi="Times New Roman" w:cs="Times New Roman"/>
          <w:color w:val="7030A0"/>
        </w:rPr>
        <w:t>, in discussing ‘grave risk’,</w:t>
      </w:r>
      <w:r w:rsidR="008C28D9" w:rsidRPr="00570FE0">
        <w:rPr>
          <w:rFonts w:ascii="Times New Roman" w:hAnsi="Times New Roman" w:cs="Times New Roman"/>
          <w:color w:val="7030A0"/>
        </w:rPr>
        <w:t xml:space="preserve"> </w:t>
      </w:r>
      <w:r w:rsidR="009F599D" w:rsidRPr="00570FE0">
        <w:rPr>
          <w:rFonts w:ascii="Times New Roman" w:hAnsi="Times New Roman" w:cs="Times New Roman"/>
          <w:color w:val="7030A0"/>
        </w:rPr>
        <w:t xml:space="preserve">the Irish Court of Appeal refers (with clear approval) to the UK Supreme Court decisions in </w:t>
      </w:r>
      <w:r w:rsidR="009F599D" w:rsidRPr="00570FE0">
        <w:rPr>
          <w:rFonts w:ascii="Times New Roman" w:hAnsi="Times New Roman" w:cs="Times New Roman"/>
          <w:i/>
          <w:iCs/>
          <w:color w:val="7030A0"/>
        </w:rPr>
        <w:t>Re D</w:t>
      </w:r>
      <w:r w:rsidR="009F599D" w:rsidRPr="00570FE0">
        <w:rPr>
          <w:rFonts w:ascii="Times New Roman" w:hAnsi="Times New Roman" w:cs="Times New Roman"/>
          <w:color w:val="7030A0"/>
        </w:rPr>
        <w:t xml:space="preserve"> [2006] UKHL 51 and </w:t>
      </w:r>
      <w:r w:rsidR="009F599D" w:rsidRPr="00570FE0">
        <w:rPr>
          <w:rFonts w:ascii="Times New Roman" w:hAnsi="Times New Roman" w:cs="Times New Roman"/>
          <w:i/>
          <w:iCs/>
          <w:color w:val="7030A0"/>
        </w:rPr>
        <w:t>Re E</w:t>
      </w:r>
      <w:r w:rsidR="009F599D" w:rsidRPr="00570FE0">
        <w:rPr>
          <w:rFonts w:ascii="Times New Roman" w:hAnsi="Times New Roman" w:cs="Times New Roman"/>
          <w:color w:val="7030A0"/>
        </w:rPr>
        <w:t xml:space="preserve"> [2011] UKSC 27. </w:t>
      </w:r>
    </w:p>
    <w:p w14:paraId="29D572C8" w14:textId="77777777" w:rsidR="00A635A6" w:rsidRPr="00570FE0" w:rsidRDefault="00A72D04" w:rsidP="00570FE0">
      <w:pPr>
        <w:jc w:val="both"/>
        <w:rPr>
          <w:rFonts w:ascii="Times New Roman" w:hAnsi="Times New Roman" w:cs="Times New Roman"/>
          <w:i/>
          <w:iCs/>
          <w:color w:val="7030A0"/>
        </w:rPr>
      </w:pPr>
      <w:r w:rsidRPr="00570FE0">
        <w:rPr>
          <w:rFonts w:ascii="Times New Roman" w:hAnsi="Times New Roman" w:cs="Times New Roman"/>
          <w:color w:val="7030A0"/>
        </w:rPr>
        <w:t>In recent abduction cases</w:t>
      </w:r>
      <w:r w:rsidR="00A635A6" w:rsidRPr="00570FE0">
        <w:rPr>
          <w:rFonts w:ascii="Times New Roman" w:hAnsi="Times New Roman" w:cs="Times New Roman"/>
          <w:color w:val="7030A0"/>
        </w:rPr>
        <w:t>,</w:t>
      </w:r>
      <w:r w:rsidRPr="00570FE0">
        <w:rPr>
          <w:rFonts w:ascii="Times New Roman" w:hAnsi="Times New Roman" w:cs="Times New Roman"/>
          <w:color w:val="7030A0"/>
        </w:rPr>
        <w:t xml:space="preserve"> the Irish courts often make explicit reference to Art 8 ECHR and to the jurisprudence of the ECtHR (including </w:t>
      </w:r>
      <w:r w:rsidRPr="00570FE0">
        <w:rPr>
          <w:rFonts w:ascii="Times New Roman" w:hAnsi="Times New Roman" w:cs="Times New Roman"/>
          <w:i/>
          <w:iCs/>
          <w:color w:val="7030A0"/>
        </w:rPr>
        <w:t>Neulinger</w:t>
      </w:r>
      <w:r w:rsidRPr="00570FE0">
        <w:rPr>
          <w:rFonts w:ascii="Times New Roman" w:hAnsi="Times New Roman" w:cs="Times New Roman"/>
          <w:color w:val="7030A0"/>
        </w:rPr>
        <w:t xml:space="preserve"> and </w:t>
      </w:r>
      <w:r w:rsidRPr="00570FE0">
        <w:rPr>
          <w:rFonts w:ascii="Times New Roman" w:hAnsi="Times New Roman" w:cs="Times New Roman"/>
          <w:i/>
          <w:iCs/>
          <w:color w:val="7030A0"/>
        </w:rPr>
        <w:t>X v Latvia</w:t>
      </w:r>
      <w:r w:rsidRPr="00570FE0">
        <w:rPr>
          <w:rFonts w:ascii="Times New Roman" w:hAnsi="Times New Roman" w:cs="Times New Roman"/>
          <w:color w:val="7030A0"/>
        </w:rPr>
        <w:t xml:space="preserve">): see </w:t>
      </w:r>
      <w:proofErr w:type="spellStart"/>
      <w:r w:rsidR="00A635A6" w:rsidRPr="00570FE0">
        <w:rPr>
          <w:rFonts w:ascii="Times New Roman" w:hAnsi="Times New Roman" w:cs="Times New Roman"/>
          <w:color w:val="7030A0"/>
        </w:rPr>
        <w:t>eg</w:t>
      </w:r>
      <w:proofErr w:type="spellEnd"/>
      <w:r w:rsidR="00A635A6" w:rsidRPr="00570FE0">
        <w:rPr>
          <w:rFonts w:ascii="Times New Roman" w:hAnsi="Times New Roman" w:cs="Times New Roman"/>
          <w:color w:val="7030A0"/>
        </w:rPr>
        <w:t xml:space="preserve"> </w:t>
      </w:r>
      <w:r w:rsidR="00C8697B" w:rsidRPr="00570FE0">
        <w:rPr>
          <w:rFonts w:ascii="Times New Roman" w:hAnsi="Times New Roman" w:cs="Times New Roman"/>
          <w:i/>
          <w:iCs/>
          <w:color w:val="7030A0"/>
        </w:rPr>
        <w:t>CT v PS</w:t>
      </w:r>
      <w:r w:rsidR="00C8697B" w:rsidRPr="00570FE0">
        <w:rPr>
          <w:rFonts w:ascii="Times New Roman" w:hAnsi="Times New Roman" w:cs="Times New Roman"/>
          <w:color w:val="7030A0"/>
        </w:rPr>
        <w:t xml:space="preserve"> [2021] IECA 132 [73] ff</w:t>
      </w:r>
      <w:r w:rsidR="00A635A6" w:rsidRPr="00570FE0">
        <w:rPr>
          <w:rFonts w:ascii="Times New Roman" w:hAnsi="Times New Roman" w:cs="Times New Roman"/>
          <w:color w:val="7030A0"/>
        </w:rPr>
        <w:t>.</w:t>
      </w:r>
      <w:r w:rsidR="00C8697B" w:rsidRPr="00570FE0">
        <w:rPr>
          <w:rFonts w:ascii="Times New Roman" w:hAnsi="Times New Roman" w:cs="Times New Roman"/>
          <w:color w:val="7030A0"/>
        </w:rPr>
        <w:t xml:space="preserve"> </w:t>
      </w:r>
    </w:p>
    <w:p w14:paraId="4DFCE3F1" w14:textId="77777777" w:rsidR="00A635A6" w:rsidRDefault="00A635A6" w:rsidP="00A635A6">
      <w:pPr>
        <w:pStyle w:val="ListParagraph"/>
        <w:jc w:val="both"/>
        <w:rPr>
          <w:rFonts w:ascii="Times New Roman" w:hAnsi="Times New Roman" w:cs="Times New Roman"/>
          <w:i/>
          <w:iCs/>
          <w:color w:val="7030A0"/>
        </w:rPr>
      </w:pPr>
    </w:p>
    <w:p w14:paraId="23797B53" w14:textId="7CA12B09" w:rsidR="00446EB7" w:rsidRDefault="00446EB7" w:rsidP="00A635A6">
      <w:pPr>
        <w:pStyle w:val="ListParagraph"/>
        <w:jc w:val="both"/>
        <w:rPr>
          <w:rFonts w:ascii="Times New Roman" w:hAnsi="Times New Roman" w:cs="Times New Roman"/>
        </w:rPr>
      </w:pPr>
      <w:r w:rsidRPr="003F1C58">
        <w:rPr>
          <w:rFonts w:ascii="Times New Roman" w:hAnsi="Times New Roman" w:cs="Times New Roman"/>
        </w:rPr>
        <w:t xml:space="preserve">Are you aware of cases </w:t>
      </w:r>
      <w:r w:rsidR="00F855CF">
        <w:rPr>
          <w:rFonts w:ascii="Times New Roman" w:hAnsi="Times New Roman" w:cs="Times New Roman"/>
        </w:rPr>
        <w:t>in which</w:t>
      </w:r>
      <w:r w:rsidRPr="003F1C58">
        <w:rPr>
          <w:rFonts w:ascii="Times New Roman" w:hAnsi="Times New Roman" w:cs="Times New Roman"/>
        </w:rPr>
        <w:t xml:space="preserve"> Article 13(1)(b) has been interpreted inconsistently </w:t>
      </w:r>
      <w:r w:rsidR="00E215E8">
        <w:rPr>
          <w:rFonts w:ascii="Times New Roman" w:hAnsi="Times New Roman" w:cs="Times New Roman"/>
        </w:rPr>
        <w:t>with</w:t>
      </w:r>
      <w:r w:rsidRPr="003F1C58">
        <w:rPr>
          <w:rFonts w:ascii="Times New Roman" w:hAnsi="Times New Roman" w:cs="Times New Roman"/>
        </w:rPr>
        <w:t>in your jurisdiction?</w:t>
      </w:r>
      <w:r w:rsidR="00945E11" w:rsidRPr="00945E11">
        <w:rPr>
          <w:rFonts w:ascii="Times New Roman" w:hAnsi="Times New Roman" w:cs="Times New Roman"/>
        </w:rPr>
        <w:t xml:space="preserve"> </w:t>
      </w:r>
      <w:r w:rsidR="00945E11">
        <w:rPr>
          <w:rFonts w:ascii="Times New Roman" w:hAnsi="Times New Roman" w:cs="Times New Roman"/>
        </w:rPr>
        <w:t>If so, please briefly elaborate.</w:t>
      </w:r>
    </w:p>
    <w:p w14:paraId="5A0F158D" w14:textId="18FFF3BC" w:rsidR="00AE430F" w:rsidRPr="00AE430F" w:rsidRDefault="00A635A6" w:rsidP="00A635A6">
      <w:pPr>
        <w:jc w:val="both"/>
        <w:rPr>
          <w:rFonts w:ascii="Times New Roman" w:hAnsi="Times New Roman" w:cs="Times New Roman"/>
        </w:rPr>
      </w:pPr>
      <w:r>
        <w:rPr>
          <w:rFonts w:ascii="Times New Roman" w:hAnsi="Times New Roman" w:cs="Times New Roman"/>
          <w:color w:val="7030A0"/>
        </w:rPr>
        <w:t>R</w:t>
      </w:r>
      <w:r w:rsidR="00A262EB" w:rsidRPr="00E26FE2">
        <w:rPr>
          <w:rFonts w:ascii="Times New Roman" w:hAnsi="Times New Roman" w:cs="Times New Roman"/>
          <w:color w:val="7030A0"/>
        </w:rPr>
        <w:t xml:space="preserve">eturn orders have sometimes been refused in circumstances where the abducting parent faces a precarious financial situation/lack of secure accommodation in the event of return, but in other apparently similar cases return orders have been </w:t>
      </w:r>
      <w:proofErr w:type="gramStart"/>
      <w:r w:rsidR="00A262EB" w:rsidRPr="00E26FE2">
        <w:rPr>
          <w:rFonts w:ascii="Times New Roman" w:hAnsi="Times New Roman" w:cs="Times New Roman"/>
          <w:color w:val="7030A0"/>
        </w:rPr>
        <w:t>made</w:t>
      </w:r>
      <w:r w:rsidR="007A17DD">
        <w:rPr>
          <w:rFonts w:ascii="Times New Roman" w:hAnsi="Times New Roman" w:cs="Times New Roman"/>
          <w:color w:val="7030A0"/>
        </w:rPr>
        <w:t>:</w:t>
      </w:r>
      <w:proofErr w:type="gramEnd"/>
      <w:r w:rsidR="007A17DD">
        <w:rPr>
          <w:rFonts w:ascii="Times New Roman" w:hAnsi="Times New Roman" w:cs="Times New Roman"/>
          <w:color w:val="7030A0"/>
        </w:rPr>
        <w:t xml:space="preserve"> </w:t>
      </w:r>
      <w:r w:rsidR="00A262EB" w:rsidRPr="00E26FE2">
        <w:rPr>
          <w:rFonts w:ascii="Times New Roman" w:hAnsi="Times New Roman" w:cs="Times New Roman"/>
          <w:color w:val="7030A0"/>
        </w:rPr>
        <w:t xml:space="preserve">contrast </w:t>
      </w:r>
      <w:r w:rsidR="00E26FE2" w:rsidRPr="00E26FE2">
        <w:rPr>
          <w:rFonts w:ascii="Times New Roman" w:hAnsi="Times New Roman" w:cs="Times New Roman"/>
          <w:i/>
          <w:iCs/>
          <w:color w:val="7030A0"/>
        </w:rPr>
        <w:t>DH v LH</w:t>
      </w:r>
      <w:r w:rsidR="00E26FE2" w:rsidRPr="00E26FE2">
        <w:rPr>
          <w:rFonts w:ascii="Times New Roman" w:hAnsi="Times New Roman" w:cs="Times New Roman"/>
          <w:color w:val="7030A0"/>
        </w:rPr>
        <w:t xml:space="preserve"> [2018] IEHC 317 and </w:t>
      </w:r>
      <w:r w:rsidR="00E26FE2" w:rsidRPr="00E26FE2">
        <w:rPr>
          <w:rFonts w:ascii="Times New Roman" w:hAnsi="Times New Roman" w:cs="Times New Roman"/>
          <w:i/>
          <w:iCs/>
          <w:color w:val="7030A0"/>
        </w:rPr>
        <w:t>AA v RR</w:t>
      </w:r>
      <w:r w:rsidR="00E26FE2" w:rsidRPr="00E26FE2">
        <w:rPr>
          <w:rFonts w:ascii="Times New Roman" w:hAnsi="Times New Roman" w:cs="Times New Roman"/>
          <w:color w:val="7030A0"/>
        </w:rPr>
        <w:t xml:space="preserve"> [2019] IEHC 442 (confirmed on appeal</w:t>
      </w:r>
      <w:r w:rsidR="00871B4E">
        <w:rPr>
          <w:rFonts w:ascii="Times New Roman" w:hAnsi="Times New Roman" w:cs="Times New Roman"/>
          <w:color w:val="7030A0"/>
        </w:rPr>
        <w:t xml:space="preserve"> [2019] IECA 227</w:t>
      </w:r>
      <w:r w:rsidR="00E26FE2" w:rsidRPr="00E26FE2">
        <w:rPr>
          <w:rFonts w:ascii="Times New Roman" w:hAnsi="Times New Roman" w:cs="Times New Roman"/>
          <w:color w:val="7030A0"/>
        </w:rPr>
        <w:t>)</w:t>
      </w:r>
      <w:r w:rsidR="00A262EB" w:rsidRPr="00E26FE2">
        <w:rPr>
          <w:rFonts w:ascii="Times New Roman" w:hAnsi="Times New Roman" w:cs="Times New Roman"/>
          <w:color w:val="7030A0"/>
        </w:rPr>
        <w:t xml:space="preserve">. </w:t>
      </w:r>
      <w:proofErr w:type="gramStart"/>
      <w:r w:rsidR="00A262EB" w:rsidRPr="00E26FE2">
        <w:rPr>
          <w:rFonts w:ascii="Times New Roman" w:hAnsi="Times New Roman" w:cs="Times New Roman"/>
          <w:color w:val="7030A0"/>
        </w:rPr>
        <w:t>Also</w:t>
      </w:r>
      <w:proofErr w:type="gramEnd"/>
      <w:r w:rsidR="00A262EB" w:rsidRPr="00E26FE2">
        <w:rPr>
          <w:rFonts w:ascii="Times New Roman" w:hAnsi="Times New Roman" w:cs="Times New Roman"/>
          <w:color w:val="7030A0"/>
        </w:rPr>
        <w:t xml:space="preserve"> there may be a degree of inconsistency in how the </w:t>
      </w:r>
      <w:r w:rsidR="00DC59AD">
        <w:rPr>
          <w:rFonts w:ascii="Times New Roman" w:hAnsi="Times New Roman" w:cs="Times New Roman"/>
          <w:color w:val="7030A0"/>
        </w:rPr>
        <w:t xml:space="preserve">Irish </w:t>
      </w:r>
      <w:r w:rsidR="00A262EB" w:rsidRPr="00E26FE2">
        <w:rPr>
          <w:rFonts w:ascii="Times New Roman" w:hAnsi="Times New Roman" w:cs="Times New Roman"/>
          <w:color w:val="7030A0"/>
        </w:rPr>
        <w:t>courts respond to allegations of domestic violence</w:t>
      </w:r>
      <w:r w:rsidR="00E26FE2" w:rsidRPr="00E26FE2">
        <w:rPr>
          <w:rFonts w:ascii="Times New Roman" w:hAnsi="Times New Roman" w:cs="Times New Roman"/>
          <w:color w:val="7030A0"/>
        </w:rPr>
        <w:t xml:space="preserve"> (compare </w:t>
      </w:r>
      <w:r w:rsidR="00E26FE2" w:rsidRPr="00E26FE2">
        <w:rPr>
          <w:rFonts w:ascii="Times New Roman" w:hAnsi="Times New Roman" w:cs="Times New Roman"/>
          <w:i/>
          <w:iCs/>
          <w:color w:val="7030A0"/>
        </w:rPr>
        <w:t>DB v HC</w:t>
      </w:r>
      <w:r w:rsidR="00E26FE2" w:rsidRPr="00E26FE2">
        <w:rPr>
          <w:rFonts w:ascii="Times New Roman" w:hAnsi="Times New Roman" w:cs="Times New Roman"/>
          <w:color w:val="7030A0"/>
        </w:rPr>
        <w:t xml:space="preserve"> [2022] IEHC 627 </w:t>
      </w:r>
      <w:r w:rsidR="00871B4E">
        <w:rPr>
          <w:rFonts w:ascii="Times New Roman" w:hAnsi="Times New Roman" w:cs="Times New Roman"/>
          <w:color w:val="7030A0"/>
        </w:rPr>
        <w:t>with</w:t>
      </w:r>
      <w:r w:rsidR="00E26FE2" w:rsidRPr="00871B4E">
        <w:rPr>
          <w:rFonts w:ascii="Times New Roman" w:hAnsi="Times New Roman" w:cs="Times New Roman"/>
          <w:i/>
          <w:iCs/>
          <w:color w:val="7030A0"/>
        </w:rPr>
        <w:t xml:space="preserve"> </w:t>
      </w:r>
      <w:r w:rsidR="00871B4E" w:rsidRPr="00871B4E">
        <w:rPr>
          <w:rFonts w:ascii="Times New Roman" w:hAnsi="Times New Roman" w:cs="Times New Roman"/>
          <w:i/>
          <w:iCs/>
          <w:color w:val="7030A0"/>
        </w:rPr>
        <w:t>R v R</w:t>
      </w:r>
      <w:r w:rsidR="00871B4E">
        <w:rPr>
          <w:rFonts w:ascii="Times New Roman" w:hAnsi="Times New Roman" w:cs="Times New Roman"/>
          <w:color w:val="7030A0"/>
        </w:rPr>
        <w:t xml:space="preserve"> [2015] IECA </w:t>
      </w:r>
      <w:r w:rsidR="00C36460">
        <w:rPr>
          <w:rFonts w:ascii="Times New Roman" w:hAnsi="Times New Roman" w:cs="Times New Roman"/>
          <w:color w:val="7030A0"/>
        </w:rPr>
        <w:t xml:space="preserve">265, </w:t>
      </w:r>
      <w:r w:rsidR="00871B4E" w:rsidRPr="00871B4E">
        <w:rPr>
          <w:rFonts w:ascii="Times New Roman" w:hAnsi="Times New Roman" w:cs="Times New Roman"/>
          <w:i/>
          <w:iCs/>
          <w:color w:val="7030A0"/>
        </w:rPr>
        <w:t>MSH v LH</w:t>
      </w:r>
      <w:r w:rsidR="00871B4E">
        <w:rPr>
          <w:rFonts w:ascii="Times New Roman" w:hAnsi="Times New Roman" w:cs="Times New Roman"/>
          <w:color w:val="7030A0"/>
        </w:rPr>
        <w:t xml:space="preserve"> [2000] 3 IR 390</w:t>
      </w:r>
      <w:r w:rsidR="00C36460">
        <w:rPr>
          <w:rFonts w:ascii="Times New Roman" w:hAnsi="Times New Roman" w:cs="Times New Roman"/>
          <w:color w:val="7030A0"/>
        </w:rPr>
        <w:t xml:space="preserve"> and </w:t>
      </w:r>
      <w:r w:rsidR="00C36460" w:rsidRPr="00C36460">
        <w:rPr>
          <w:rFonts w:ascii="Times New Roman" w:hAnsi="Times New Roman" w:cs="Times New Roman"/>
          <w:i/>
          <w:iCs/>
          <w:color w:val="7030A0"/>
        </w:rPr>
        <w:t>MI v MBR</w:t>
      </w:r>
      <w:r w:rsidR="00C36460">
        <w:rPr>
          <w:rFonts w:ascii="Times New Roman" w:hAnsi="Times New Roman" w:cs="Times New Roman"/>
          <w:color w:val="7030A0"/>
        </w:rPr>
        <w:t xml:space="preserve"> [2020] IEHC 504</w:t>
      </w:r>
      <w:r>
        <w:rPr>
          <w:rFonts w:ascii="Times New Roman" w:hAnsi="Times New Roman" w:cs="Times New Roman"/>
          <w:color w:val="7030A0"/>
        </w:rPr>
        <w:t>)</w:t>
      </w:r>
      <w:r w:rsidR="00A262EB" w:rsidRPr="00E26FE2">
        <w:rPr>
          <w:rFonts w:ascii="Times New Roman" w:hAnsi="Times New Roman" w:cs="Times New Roman"/>
          <w:color w:val="7030A0"/>
        </w:rPr>
        <w:t>.</w:t>
      </w:r>
      <w:r w:rsidR="00A262EB">
        <w:rPr>
          <w:rFonts w:ascii="Times New Roman" w:hAnsi="Times New Roman" w:cs="Times New Roman"/>
        </w:rPr>
        <w:t xml:space="preserve"> </w:t>
      </w:r>
    </w:p>
    <w:p w14:paraId="73F563D0" w14:textId="77777777" w:rsidR="00E83F05" w:rsidRDefault="0034190F" w:rsidP="00E83F05">
      <w:pPr>
        <w:pStyle w:val="ListParagraph"/>
        <w:jc w:val="both"/>
        <w:rPr>
          <w:rFonts w:ascii="Times New Roman" w:hAnsi="Times New Roman" w:cs="Times New Roman"/>
        </w:rPr>
      </w:pPr>
      <w:r w:rsidRPr="003F1C58">
        <w:rPr>
          <w:rFonts w:ascii="Times New Roman" w:hAnsi="Times New Roman" w:cs="Times New Roman"/>
        </w:rPr>
        <w:lastRenderedPageBreak/>
        <w:t>Please consider Article 13(1)(b) in conjunction with Article 11</w:t>
      </w:r>
      <w:r w:rsidR="007D7E71">
        <w:rPr>
          <w:rFonts w:ascii="Times New Roman" w:hAnsi="Times New Roman" w:cs="Times New Roman"/>
        </w:rPr>
        <w:t>(4)</w:t>
      </w:r>
      <w:r w:rsidRPr="003F1C58">
        <w:rPr>
          <w:rFonts w:ascii="Times New Roman" w:hAnsi="Times New Roman" w:cs="Times New Roman"/>
        </w:rPr>
        <w:t xml:space="preserve"> of the Brussels </w:t>
      </w:r>
      <w:proofErr w:type="spellStart"/>
      <w:r w:rsidRPr="003F1C58">
        <w:rPr>
          <w:rFonts w:ascii="Times New Roman" w:hAnsi="Times New Roman" w:cs="Times New Roman"/>
        </w:rPr>
        <w:t>IIa</w:t>
      </w:r>
      <w:proofErr w:type="spellEnd"/>
      <w:r w:rsidRPr="003F1C58">
        <w:rPr>
          <w:rFonts w:ascii="Times New Roman" w:hAnsi="Times New Roman" w:cs="Times New Roman"/>
        </w:rPr>
        <w:t xml:space="preserve"> Regulation.</w:t>
      </w:r>
      <w:r w:rsidR="00002E77">
        <w:rPr>
          <w:rStyle w:val="FootnoteReference"/>
          <w:rFonts w:ascii="Times New Roman" w:hAnsi="Times New Roman" w:cs="Times New Roman"/>
        </w:rPr>
        <w:footnoteReference w:id="3"/>
      </w:r>
      <w:r w:rsidRPr="003F1C58">
        <w:rPr>
          <w:rFonts w:ascii="Times New Roman" w:hAnsi="Times New Roman" w:cs="Times New Roman"/>
        </w:rPr>
        <w:t xml:space="preserve"> </w:t>
      </w:r>
      <w:r w:rsidR="007D7E71">
        <w:rPr>
          <w:rFonts w:ascii="Times New Roman" w:hAnsi="Times New Roman" w:cs="Times New Roman"/>
        </w:rPr>
        <w:t xml:space="preserve">Can you identify a difference in the treatment of the grave risk of harm defence in intra-EU and non-intra EU cases? </w:t>
      </w:r>
      <w:r w:rsidR="00E83F05" w:rsidRPr="003F1C58">
        <w:rPr>
          <w:rFonts w:ascii="Times New Roman" w:hAnsi="Times New Roman" w:cs="Times New Roman"/>
        </w:rPr>
        <w:t>What do you consider to be the most problematic points?</w:t>
      </w:r>
    </w:p>
    <w:p w14:paraId="37AA9CF7" w14:textId="77777777" w:rsidR="00D66083" w:rsidRPr="00D66083" w:rsidRDefault="00D66083" w:rsidP="00D66083">
      <w:pPr>
        <w:pStyle w:val="ListParagraph"/>
        <w:jc w:val="both"/>
        <w:rPr>
          <w:rFonts w:ascii="Times New Roman" w:hAnsi="Times New Roman" w:cs="Times New Roman"/>
        </w:rPr>
      </w:pPr>
    </w:p>
    <w:p w14:paraId="3EFEE575" w14:textId="64125F16" w:rsidR="006C1687" w:rsidRDefault="00D66083" w:rsidP="00842F05">
      <w:pPr>
        <w:jc w:val="both"/>
      </w:pPr>
      <w:r w:rsidRPr="00842F05">
        <w:rPr>
          <w:rFonts w:ascii="Times New Roman" w:hAnsi="Times New Roman" w:cs="Times New Roman"/>
          <w:color w:val="7030A0"/>
        </w:rPr>
        <w:t xml:space="preserve">There have been some suggestions in the </w:t>
      </w:r>
      <w:r w:rsidR="00DC59AD">
        <w:rPr>
          <w:rFonts w:ascii="Times New Roman" w:hAnsi="Times New Roman" w:cs="Times New Roman"/>
          <w:color w:val="7030A0"/>
        </w:rPr>
        <w:t xml:space="preserve">Irish </w:t>
      </w:r>
      <w:r w:rsidRPr="00842F05">
        <w:rPr>
          <w:rFonts w:ascii="Times New Roman" w:hAnsi="Times New Roman" w:cs="Times New Roman"/>
          <w:color w:val="7030A0"/>
        </w:rPr>
        <w:t xml:space="preserve">case-law that the grave risk defence might be narrower in intra-EU cases because of mutual trust: see </w:t>
      </w:r>
      <w:r w:rsidR="000E1398" w:rsidRPr="00842F05">
        <w:rPr>
          <w:rFonts w:ascii="Times New Roman" w:hAnsi="Times New Roman" w:cs="Times New Roman"/>
          <w:i/>
          <w:iCs/>
          <w:color w:val="7030A0"/>
        </w:rPr>
        <w:t>R v R</w:t>
      </w:r>
      <w:r w:rsidR="000E1398" w:rsidRPr="00842F05">
        <w:rPr>
          <w:rFonts w:ascii="Times New Roman" w:hAnsi="Times New Roman" w:cs="Times New Roman"/>
          <w:color w:val="7030A0"/>
        </w:rPr>
        <w:t xml:space="preserve"> [2015] IECA 265 [40]</w:t>
      </w:r>
      <w:r w:rsidRPr="00842F05">
        <w:rPr>
          <w:rFonts w:ascii="Times New Roman" w:hAnsi="Times New Roman" w:cs="Times New Roman"/>
          <w:color w:val="7030A0"/>
        </w:rPr>
        <w:t xml:space="preserve">; </w:t>
      </w:r>
      <w:r w:rsidR="0019247C" w:rsidRPr="00842F05">
        <w:rPr>
          <w:rFonts w:ascii="Times New Roman" w:hAnsi="Times New Roman" w:cs="Times New Roman"/>
          <w:i/>
          <w:iCs/>
          <w:color w:val="7030A0"/>
        </w:rPr>
        <w:t>C v G</w:t>
      </w:r>
      <w:r w:rsidR="0019247C" w:rsidRPr="00842F05">
        <w:rPr>
          <w:rFonts w:ascii="Times New Roman" w:hAnsi="Times New Roman" w:cs="Times New Roman"/>
          <w:color w:val="7030A0"/>
        </w:rPr>
        <w:t xml:space="preserve"> [2020] IECA 233 [49]</w:t>
      </w:r>
      <w:r w:rsidR="00805666" w:rsidRPr="00842F05">
        <w:rPr>
          <w:rFonts w:ascii="Times New Roman" w:hAnsi="Times New Roman" w:cs="Times New Roman"/>
          <w:color w:val="7030A0"/>
        </w:rPr>
        <w:t>, [131]</w:t>
      </w:r>
      <w:r w:rsidR="0019247C" w:rsidRPr="00842F05">
        <w:rPr>
          <w:rFonts w:ascii="Times New Roman" w:hAnsi="Times New Roman" w:cs="Times New Roman"/>
          <w:color w:val="7030A0"/>
        </w:rPr>
        <w:t xml:space="preserve">. </w:t>
      </w:r>
      <w:r w:rsidRPr="00842F05">
        <w:rPr>
          <w:rFonts w:ascii="Times New Roman" w:hAnsi="Times New Roman" w:cs="Times New Roman"/>
          <w:color w:val="7030A0"/>
        </w:rPr>
        <w:t xml:space="preserve">However, the Irish courts have always used undertakings and protective measures to allow for a safe return (even prior to the adoption of Article 11 Brussels </w:t>
      </w:r>
      <w:proofErr w:type="spellStart"/>
      <w:r w:rsidRPr="00842F05">
        <w:rPr>
          <w:rFonts w:ascii="Times New Roman" w:hAnsi="Times New Roman" w:cs="Times New Roman"/>
          <w:color w:val="7030A0"/>
        </w:rPr>
        <w:t>II</w:t>
      </w:r>
      <w:r w:rsidRPr="00842F05">
        <w:rPr>
          <w:rFonts w:ascii="Times New Roman" w:hAnsi="Times New Roman" w:cs="Times New Roman"/>
          <w:i/>
          <w:iCs/>
          <w:color w:val="7030A0"/>
        </w:rPr>
        <w:t>bis</w:t>
      </w:r>
      <w:proofErr w:type="spellEnd"/>
      <w:r w:rsidR="006C421A" w:rsidRPr="00842F05">
        <w:rPr>
          <w:rFonts w:ascii="Times New Roman" w:hAnsi="Times New Roman" w:cs="Times New Roman"/>
          <w:i/>
          <w:iCs/>
          <w:color w:val="7030A0"/>
        </w:rPr>
        <w:t xml:space="preserve"> – </w:t>
      </w:r>
      <w:r w:rsidR="006C421A" w:rsidRPr="00842F05">
        <w:rPr>
          <w:rFonts w:ascii="Times New Roman" w:hAnsi="Times New Roman" w:cs="Times New Roman"/>
          <w:color w:val="7030A0"/>
        </w:rPr>
        <w:t xml:space="preserve">see </w:t>
      </w:r>
      <w:proofErr w:type="spellStart"/>
      <w:r w:rsidR="006C421A" w:rsidRPr="00842F05">
        <w:rPr>
          <w:rFonts w:ascii="Times New Roman" w:hAnsi="Times New Roman" w:cs="Times New Roman"/>
          <w:color w:val="7030A0"/>
        </w:rPr>
        <w:t>eg</w:t>
      </w:r>
      <w:proofErr w:type="spellEnd"/>
      <w:r w:rsidR="006C421A" w:rsidRPr="00842F05">
        <w:rPr>
          <w:rFonts w:ascii="Times New Roman" w:hAnsi="Times New Roman" w:cs="Times New Roman"/>
          <w:color w:val="7030A0"/>
        </w:rPr>
        <w:t xml:space="preserve"> </w:t>
      </w:r>
      <w:r w:rsidR="006C421A" w:rsidRPr="00842F05">
        <w:rPr>
          <w:rFonts w:ascii="Times New Roman" w:hAnsi="Times New Roman" w:cs="Times New Roman"/>
          <w:i/>
          <w:iCs/>
          <w:color w:val="7030A0"/>
        </w:rPr>
        <w:t xml:space="preserve">P v B </w:t>
      </w:r>
      <w:r w:rsidR="006C421A" w:rsidRPr="00842F05">
        <w:rPr>
          <w:rFonts w:ascii="Times New Roman" w:hAnsi="Times New Roman" w:cs="Times New Roman"/>
          <w:color w:val="7030A0"/>
        </w:rPr>
        <w:t>[1994] 3 IR 507</w:t>
      </w:r>
      <w:r w:rsidRPr="00842F05">
        <w:rPr>
          <w:rFonts w:ascii="Times New Roman" w:hAnsi="Times New Roman" w:cs="Times New Roman"/>
          <w:color w:val="7030A0"/>
        </w:rPr>
        <w:t xml:space="preserve">) so in practice it seems unlikely that Article 11(4) Brussels </w:t>
      </w:r>
      <w:proofErr w:type="spellStart"/>
      <w:r w:rsidRPr="00842F05">
        <w:rPr>
          <w:rFonts w:ascii="Times New Roman" w:hAnsi="Times New Roman" w:cs="Times New Roman"/>
          <w:color w:val="7030A0"/>
        </w:rPr>
        <w:t>II</w:t>
      </w:r>
      <w:r w:rsidRPr="00842F05">
        <w:rPr>
          <w:rFonts w:ascii="Times New Roman" w:hAnsi="Times New Roman" w:cs="Times New Roman"/>
          <w:i/>
          <w:iCs/>
          <w:color w:val="7030A0"/>
        </w:rPr>
        <w:t>bis</w:t>
      </w:r>
      <w:proofErr w:type="spellEnd"/>
      <w:r w:rsidRPr="00842F05">
        <w:rPr>
          <w:rFonts w:ascii="Times New Roman" w:hAnsi="Times New Roman" w:cs="Times New Roman"/>
          <w:color w:val="7030A0"/>
        </w:rPr>
        <w:t xml:space="preserve"> brought about any significant </w:t>
      </w:r>
      <w:r w:rsidR="00C9768C" w:rsidRPr="00842F05">
        <w:rPr>
          <w:rFonts w:ascii="Times New Roman" w:hAnsi="Times New Roman" w:cs="Times New Roman"/>
          <w:color w:val="7030A0"/>
        </w:rPr>
        <w:t>change</w:t>
      </w:r>
      <w:r w:rsidR="00A8051F" w:rsidRPr="00842F05">
        <w:rPr>
          <w:rFonts w:ascii="Times New Roman" w:hAnsi="Times New Roman" w:cs="Times New Roman"/>
          <w:color w:val="7030A0"/>
        </w:rPr>
        <w:t xml:space="preserve"> in </w:t>
      </w:r>
      <w:r w:rsidR="00C9768C" w:rsidRPr="00842F05">
        <w:rPr>
          <w:rFonts w:ascii="Times New Roman" w:hAnsi="Times New Roman" w:cs="Times New Roman"/>
          <w:color w:val="7030A0"/>
        </w:rPr>
        <w:t>approach</w:t>
      </w:r>
      <w:r w:rsidRPr="00842F05">
        <w:rPr>
          <w:rFonts w:ascii="Times New Roman" w:hAnsi="Times New Roman" w:cs="Times New Roman"/>
          <w:color w:val="7030A0"/>
        </w:rPr>
        <w:t xml:space="preserve"> (or resulted in a notably different </w:t>
      </w:r>
      <w:r w:rsidR="00C9768C" w:rsidRPr="00842F05">
        <w:rPr>
          <w:rFonts w:ascii="Times New Roman" w:hAnsi="Times New Roman" w:cs="Times New Roman"/>
          <w:color w:val="7030A0"/>
        </w:rPr>
        <w:t>treatment of</w:t>
      </w:r>
      <w:r w:rsidRPr="00842F05">
        <w:rPr>
          <w:rFonts w:ascii="Times New Roman" w:hAnsi="Times New Roman" w:cs="Times New Roman"/>
          <w:color w:val="7030A0"/>
        </w:rPr>
        <w:t xml:space="preserve"> intra-EU and non-intra-EU cases). It is also noteworthy that in recent </w:t>
      </w:r>
      <w:r w:rsidR="00C9768C" w:rsidRPr="00842F05">
        <w:rPr>
          <w:rFonts w:ascii="Times New Roman" w:hAnsi="Times New Roman" w:cs="Times New Roman"/>
          <w:color w:val="7030A0"/>
        </w:rPr>
        <w:t xml:space="preserve">Irish </w:t>
      </w:r>
      <w:r w:rsidRPr="00842F05">
        <w:rPr>
          <w:rFonts w:ascii="Times New Roman" w:hAnsi="Times New Roman" w:cs="Times New Roman"/>
          <w:color w:val="7030A0"/>
        </w:rPr>
        <w:t xml:space="preserve">cases – after the UK left the EU – the Irish courts have </w:t>
      </w:r>
      <w:r w:rsidR="00A8051F" w:rsidRPr="00842F05">
        <w:rPr>
          <w:rFonts w:ascii="Times New Roman" w:hAnsi="Times New Roman" w:cs="Times New Roman"/>
          <w:color w:val="7030A0"/>
        </w:rPr>
        <w:t>re</w:t>
      </w:r>
      <w:r w:rsidR="00C9768C" w:rsidRPr="00842F05">
        <w:rPr>
          <w:rFonts w:ascii="Times New Roman" w:hAnsi="Times New Roman" w:cs="Times New Roman"/>
          <w:color w:val="7030A0"/>
        </w:rPr>
        <w:t xml:space="preserve">peatedly </w:t>
      </w:r>
      <w:r w:rsidRPr="00842F05">
        <w:rPr>
          <w:rFonts w:ascii="Times New Roman" w:hAnsi="Times New Roman" w:cs="Times New Roman"/>
          <w:color w:val="7030A0"/>
        </w:rPr>
        <w:t xml:space="preserve">asserted their trust in the UK authorities and in their ability to safeguard children. See </w:t>
      </w:r>
      <w:proofErr w:type="spellStart"/>
      <w:r w:rsidRPr="00842F05">
        <w:rPr>
          <w:rFonts w:ascii="Times New Roman" w:hAnsi="Times New Roman" w:cs="Times New Roman"/>
          <w:color w:val="7030A0"/>
        </w:rPr>
        <w:t>eg</w:t>
      </w:r>
      <w:proofErr w:type="spellEnd"/>
      <w:r w:rsidRPr="00842F05">
        <w:rPr>
          <w:rFonts w:ascii="Times New Roman" w:hAnsi="Times New Roman" w:cs="Times New Roman"/>
          <w:color w:val="7030A0"/>
        </w:rPr>
        <w:t xml:space="preserve"> </w:t>
      </w:r>
      <w:r w:rsidR="006C1687" w:rsidRPr="00842F05">
        <w:rPr>
          <w:rFonts w:ascii="Times New Roman" w:hAnsi="Times New Roman" w:cs="Times New Roman"/>
          <w:i/>
          <w:iCs/>
          <w:color w:val="7030A0"/>
        </w:rPr>
        <w:t>F v C</w:t>
      </w:r>
      <w:r w:rsidR="006C1687" w:rsidRPr="00842F05">
        <w:rPr>
          <w:rFonts w:ascii="Times New Roman" w:hAnsi="Times New Roman" w:cs="Times New Roman"/>
          <w:color w:val="7030A0"/>
        </w:rPr>
        <w:t xml:space="preserve"> [2022] IECA 194 </w:t>
      </w:r>
      <w:r w:rsidR="006C1687" w:rsidRPr="00842F05">
        <w:rPr>
          <w:color w:val="7030A0"/>
        </w:rPr>
        <w:t>[20], [44]</w:t>
      </w:r>
      <w:r w:rsidR="00C9768C" w:rsidRPr="00842F05">
        <w:rPr>
          <w:color w:val="7030A0"/>
        </w:rPr>
        <w:t xml:space="preserve">; </w:t>
      </w:r>
      <w:r w:rsidR="00C9768C" w:rsidRPr="00842F05">
        <w:rPr>
          <w:i/>
          <w:iCs/>
          <w:color w:val="7030A0"/>
        </w:rPr>
        <w:t>LB v AH</w:t>
      </w:r>
      <w:r w:rsidR="00C9768C" w:rsidRPr="00842F05">
        <w:rPr>
          <w:color w:val="7030A0"/>
        </w:rPr>
        <w:t xml:space="preserve"> [2021] IEHC 849 [6.12]</w:t>
      </w:r>
      <w:proofErr w:type="gramStart"/>
      <w:r w:rsidR="00C9768C" w:rsidRPr="00842F05">
        <w:rPr>
          <w:color w:val="7030A0"/>
        </w:rPr>
        <w:t>-[</w:t>
      </w:r>
      <w:proofErr w:type="gramEnd"/>
      <w:r w:rsidR="00C9768C" w:rsidRPr="00842F05">
        <w:rPr>
          <w:color w:val="7030A0"/>
        </w:rPr>
        <w:t xml:space="preserve">6.13]; also </w:t>
      </w:r>
      <w:r w:rsidR="00C9768C" w:rsidRPr="00842F05">
        <w:rPr>
          <w:i/>
          <w:iCs/>
          <w:color w:val="7030A0"/>
        </w:rPr>
        <w:t xml:space="preserve">Lincolnshire CC v </w:t>
      </w:r>
      <w:proofErr w:type="spellStart"/>
      <w:r w:rsidR="00C9768C" w:rsidRPr="00842F05">
        <w:rPr>
          <w:i/>
          <w:iCs/>
          <w:color w:val="7030A0"/>
        </w:rPr>
        <w:t>McA</w:t>
      </w:r>
      <w:proofErr w:type="spellEnd"/>
      <w:r w:rsidR="00C9768C" w:rsidRPr="00842F05">
        <w:rPr>
          <w:color w:val="7030A0"/>
        </w:rPr>
        <w:t xml:space="preserve"> [2018] IEHC 514 [42].</w:t>
      </w:r>
      <w:r w:rsidR="006C1687">
        <w:t xml:space="preserve"> </w:t>
      </w:r>
    </w:p>
    <w:p w14:paraId="09DA72AE" w14:textId="53B5907F" w:rsidR="006C1687" w:rsidRDefault="006C1687" w:rsidP="006C1687">
      <w:pPr>
        <w:pStyle w:val="ListParagraph"/>
        <w:jc w:val="both"/>
        <w:rPr>
          <w:rFonts w:ascii="Times New Roman" w:hAnsi="Times New Roman" w:cs="Times New Roman"/>
        </w:rPr>
      </w:pPr>
    </w:p>
    <w:p w14:paraId="389FDBC5" w14:textId="77777777" w:rsidR="00842F05" w:rsidRPr="00842F05" w:rsidRDefault="00FF6026" w:rsidP="008A76E4">
      <w:pPr>
        <w:pStyle w:val="ListParagraph"/>
        <w:numPr>
          <w:ilvl w:val="0"/>
          <w:numId w:val="8"/>
        </w:numPr>
        <w:jc w:val="both"/>
        <w:rPr>
          <w:rFonts w:ascii="Times New Roman" w:hAnsi="Times New Roman" w:cs="Times New Roman"/>
          <w:color w:val="7030A0"/>
        </w:rPr>
      </w:pPr>
      <w:r w:rsidRPr="003F1C58">
        <w:rPr>
          <w:rFonts w:ascii="Times New Roman" w:hAnsi="Times New Roman" w:cs="Times New Roman"/>
        </w:rPr>
        <w:t>Please consider Article 13(1)(b) in conjunction with Article 11</w:t>
      </w:r>
      <w:r>
        <w:rPr>
          <w:rFonts w:ascii="Times New Roman" w:hAnsi="Times New Roman" w:cs="Times New Roman"/>
        </w:rPr>
        <w:t>(6)-(8)</w:t>
      </w:r>
      <w:r w:rsidRPr="003F1C58">
        <w:rPr>
          <w:rFonts w:ascii="Times New Roman" w:hAnsi="Times New Roman" w:cs="Times New Roman"/>
        </w:rPr>
        <w:t xml:space="preserve"> of the Brussels </w:t>
      </w:r>
      <w:proofErr w:type="spellStart"/>
      <w:r w:rsidRPr="003F1C58">
        <w:rPr>
          <w:rFonts w:ascii="Times New Roman" w:hAnsi="Times New Roman" w:cs="Times New Roman"/>
        </w:rPr>
        <w:t>IIa</w:t>
      </w:r>
      <w:proofErr w:type="spellEnd"/>
      <w:r w:rsidRPr="003F1C58">
        <w:rPr>
          <w:rFonts w:ascii="Times New Roman" w:hAnsi="Times New Roman" w:cs="Times New Roman"/>
        </w:rPr>
        <w:t xml:space="preserve"> Regulation.</w:t>
      </w:r>
      <w:r w:rsidR="00002E77">
        <w:rPr>
          <w:rStyle w:val="FootnoteReference"/>
          <w:rFonts w:ascii="Times New Roman" w:hAnsi="Times New Roman" w:cs="Times New Roman"/>
        </w:rPr>
        <w:footnoteReference w:id="4"/>
      </w:r>
      <w:r w:rsidRPr="003F1C58">
        <w:rPr>
          <w:rFonts w:ascii="Times New Roman" w:hAnsi="Times New Roman" w:cs="Times New Roman"/>
        </w:rPr>
        <w:t xml:space="preserve"> </w:t>
      </w:r>
      <w:r w:rsidR="00401457">
        <w:rPr>
          <w:rFonts w:ascii="Times New Roman" w:hAnsi="Times New Roman" w:cs="Times New Roman"/>
        </w:rPr>
        <w:t>H</w:t>
      </w:r>
      <w:r w:rsidR="00401457" w:rsidRPr="00401457">
        <w:rPr>
          <w:rFonts w:ascii="Times New Roman" w:hAnsi="Times New Roman" w:cs="Times New Roman"/>
        </w:rPr>
        <w:t xml:space="preserve">as the application been smooth and explain why/why not? </w:t>
      </w:r>
    </w:p>
    <w:p w14:paraId="4A01E16B" w14:textId="5C4D1607" w:rsidR="007D7E71" w:rsidRPr="00842F05" w:rsidRDefault="00E5407D" w:rsidP="00842F05">
      <w:pPr>
        <w:jc w:val="both"/>
        <w:rPr>
          <w:rFonts w:ascii="Times New Roman" w:hAnsi="Times New Roman" w:cs="Times New Roman"/>
          <w:color w:val="7030A0"/>
        </w:rPr>
      </w:pPr>
      <w:r w:rsidRPr="00842F05">
        <w:rPr>
          <w:rFonts w:ascii="Times New Roman" w:hAnsi="Times New Roman" w:cs="Times New Roman"/>
          <w:color w:val="7030A0"/>
        </w:rPr>
        <w:t xml:space="preserve">The </w:t>
      </w:r>
      <w:r w:rsidR="00DC59AD">
        <w:rPr>
          <w:rFonts w:ascii="Times New Roman" w:hAnsi="Times New Roman" w:cs="Times New Roman"/>
          <w:color w:val="7030A0"/>
        </w:rPr>
        <w:t xml:space="preserve">Irish </w:t>
      </w:r>
      <w:r w:rsidRPr="00842F05">
        <w:rPr>
          <w:rFonts w:ascii="Times New Roman" w:hAnsi="Times New Roman" w:cs="Times New Roman"/>
          <w:color w:val="7030A0"/>
        </w:rPr>
        <w:t>caselaw d</w:t>
      </w:r>
      <w:r w:rsidR="00842F05" w:rsidRPr="00842F05">
        <w:rPr>
          <w:rFonts w:ascii="Times New Roman" w:hAnsi="Times New Roman" w:cs="Times New Roman"/>
          <w:color w:val="7030A0"/>
        </w:rPr>
        <w:t>oes</w:t>
      </w:r>
      <w:r w:rsidRPr="00842F05">
        <w:rPr>
          <w:rFonts w:ascii="Times New Roman" w:hAnsi="Times New Roman" w:cs="Times New Roman"/>
          <w:color w:val="7030A0"/>
        </w:rPr>
        <w:t xml:space="preserve"> not reveal any </w:t>
      </w:r>
      <w:proofErr w:type="gramStart"/>
      <w:r w:rsidRPr="00842F05">
        <w:rPr>
          <w:rFonts w:ascii="Times New Roman" w:hAnsi="Times New Roman" w:cs="Times New Roman"/>
          <w:color w:val="7030A0"/>
        </w:rPr>
        <w:t>particular difficulty</w:t>
      </w:r>
      <w:proofErr w:type="gramEnd"/>
      <w:r w:rsidRPr="00842F05">
        <w:rPr>
          <w:rFonts w:ascii="Times New Roman" w:hAnsi="Times New Roman" w:cs="Times New Roman"/>
          <w:color w:val="7030A0"/>
        </w:rPr>
        <w:t xml:space="preserve"> with these provisions</w:t>
      </w:r>
      <w:r w:rsidR="00842F05" w:rsidRPr="00842F05">
        <w:rPr>
          <w:rFonts w:ascii="Times New Roman" w:hAnsi="Times New Roman" w:cs="Times New Roman"/>
          <w:color w:val="7030A0"/>
        </w:rPr>
        <w:t xml:space="preserve"> – although there have been some problems with delay in the Article 11(6)-(8) proceedings and some difficulty in determining how much documentation should be supplied (</w:t>
      </w:r>
      <w:proofErr w:type="spellStart"/>
      <w:r w:rsidR="00842F05" w:rsidRPr="00842F05">
        <w:rPr>
          <w:rFonts w:ascii="Times New Roman" w:hAnsi="Times New Roman" w:cs="Times New Roman"/>
          <w:color w:val="7030A0"/>
        </w:rPr>
        <w:t>eg</w:t>
      </w:r>
      <w:proofErr w:type="spellEnd"/>
      <w:r w:rsidR="00842F05" w:rsidRPr="00842F05">
        <w:rPr>
          <w:rFonts w:ascii="Times New Roman" w:hAnsi="Times New Roman" w:cs="Times New Roman"/>
          <w:color w:val="7030A0"/>
        </w:rPr>
        <w:t xml:space="preserve"> where there have been multiple hearings in the requested state)</w:t>
      </w:r>
      <w:r w:rsidRPr="00842F05">
        <w:rPr>
          <w:rFonts w:ascii="Times New Roman" w:hAnsi="Times New Roman" w:cs="Times New Roman"/>
          <w:color w:val="7030A0"/>
        </w:rPr>
        <w:t>.</w:t>
      </w:r>
      <w:r w:rsidR="00842F05" w:rsidRPr="00842F05">
        <w:rPr>
          <w:rFonts w:ascii="Times New Roman" w:hAnsi="Times New Roman" w:cs="Times New Roman"/>
          <w:color w:val="7030A0"/>
        </w:rPr>
        <w:t xml:space="preserve"> See Articles 11(6)-(8) Brussels </w:t>
      </w:r>
      <w:proofErr w:type="spellStart"/>
      <w:r w:rsidR="00842F05" w:rsidRPr="00842F05">
        <w:rPr>
          <w:rFonts w:ascii="Times New Roman" w:hAnsi="Times New Roman" w:cs="Times New Roman"/>
          <w:color w:val="7030A0"/>
        </w:rPr>
        <w:t>II</w:t>
      </w:r>
      <w:r w:rsidR="00842F05" w:rsidRPr="00867CCC">
        <w:rPr>
          <w:rFonts w:ascii="Times New Roman" w:hAnsi="Times New Roman" w:cs="Times New Roman"/>
          <w:i/>
          <w:iCs/>
          <w:color w:val="7030A0"/>
        </w:rPr>
        <w:t>bis</w:t>
      </w:r>
      <w:proofErr w:type="spellEnd"/>
      <w:r w:rsidR="00842F05" w:rsidRPr="00842F05">
        <w:rPr>
          <w:rFonts w:ascii="Times New Roman" w:hAnsi="Times New Roman" w:cs="Times New Roman"/>
          <w:color w:val="7030A0"/>
        </w:rPr>
        <w:t xml:space="preserve"> (and Art 10 Brussels </w:t>
      </w:r>
      <w:proofErr w:type="spellStart"/>
      <w:r w:rsidR="00842F05" w:rsidRPr="00842F05">
        <w:rPr>
          <w:rFonts w:ascii="Times New Roman" w:hAnsi="Times New Roman" w:cs="Times New Roman"/>
          <w:color w:val="7030A0"/>
        </w:rPr>
        <w:t>II</w:t>
      </w:r>
      <w:r w:rsidR="00842F05" w:rsidRPr="00867CCC">
        <w:rPr>
          <w:rFonts w:ascii="Times New Roman" w:hAnsi="Times New Roman" w:cs="Times New Roman"/>
          <w:i/>
          <w:iCs/>
          <w:color w:val="7030A0"/>
        </w:rPr>
        <w:t>bis</w:t>
      </w:r>
      <w:proofErr w:type="spellEnd"/>
      <w:r w:rsidR="00842F05" w:rsidRPr="00842F05">
        <w:rPr>
          <w:rFonts w:ascii="Times New Roman" w:hAnsi="Times New Roman" w:cs="Times New Roman"/>
          <w:color w:val="7030A0"/>
        </w:rPr>
        <w:t xml:space="preserve">) discussed in </w:t>
      </w:r>
      <w:r w:rsidR="00842F05" w:rsidRPr="00842F05">
        <w:rPr>
          <w:rFonts w:ascii="Times New Roman" w:hAnsi="Times New Roman" w:cs="Times New Roman"/>
          <w:i/>
          <w:iCs/>
          <w:color w:val="7030A0"/>
        </w:rPr>
        <w:t>AO’K v MK</w:t>
      </w:r>
      <w:r w:rsidR="00842F05">
        <w:rPr>
          <w:rFonts w:ascii="Times New Roman" w:hAnsi="Times New Roman" w:cs="Times New Roman"/>
          <w:color w:val="7030A0"/>
        </w:rPr>
        <w:t xml:space="preserve"> [2011] IEHC 82; </w:t>
      </w:r>
      <w:r w:rsidR="00842F05" w:rsidRPr="00842F05">
        <w:rPr>
          <w:rFonts w:ascii="Times New Roman" w:hAnsi="Times New Roman" w:cs="Times New Roman"/>
          <w:i/>
          <w:iCs/>
          <w:color w:val="7030A0"/>
        </w:rPr>
        <w:t>EE v O’Donnell</w:t>
      </w:r>
      <w:r w:rsidR="00842F05">
        <w:rPr>
          <w:rFonts w:ascii="Times New Roman" w:hAnsi="Times New Roman" w:cs="Times New Roman"/>
          <w:color w:val="7030A0"/>
        </w:rPr>
        <w:t xml:space="preserve"> [2013] IEHC 418; </w:t>
      </w:r>
      <w:r w:rsidR="00842F05" w:rsidRPr="00842F05">
        <w:rPr>
          <w:rFonts w:ascii="Times New Roman" w:hAnsi="Times New Roman" w:cs="Times New Roman"/>
          <w:i/>
          <w:iCs/>
          <w:color w:val="7030A0"/>
        </w:rPr>
        <w:t>MHA v AP</w:t>
      </w:r>
      <w:r w:rsidR="00842F05">
        <w:rPr>
          <w:rFonts w:ascii="Times New Roman" w:hAnsi="Times New Roman" w:cs="Times New Roman"/>
          <w:color w:val="7030A0"/>
        </w:rPr>
        <w:t xml:space="preserve"> [2013] IEHC 611; </w:t>
      </w:r>
      <w:r w:rsidR="00842F05" w:rsidRPr="00842F05">
        <w:rPr>
          <w:rFonts w:ascii="Times New Roman" w:hAnsi="Times New Roman" w:cs="Times New Roman"/>
          <w:i/>
          <w:iCs/>
          <w:color w:val="7030A0"/>
        </w:rPr>
        <w:t>DMM v OPM</w:t>
      </w:r>
      <w:r w:rsidR="00842F05">
        <w:rPr>
          <w:rFonts w:ascii="Times New Roman" w:hAnsi="Times New Roman" w:cs="Times New Roman"/>
          <w:color w:val="7030A0"/>
        </w:rPr>
        <w:t xml:space="preserve"> [2019] IEHC 238; </w:t>
      </w:r>
      <w:r w:rsidR="00842F05" w:rsidRPr="00842F05">
        <w:rPr>
          <w:rFonts w:ascii="Times New Roman" w:hAnsi="Times New Roman" w:cs="Times New Roman"/>
          <w:i/>
          <w:iCs/>
          <w:color w:val="7030A0"/>
        </w:rPr>
        <w:t>Z v Z</w:t>
      </w:r>
      <w:r w:rsidR="00842F05">
        <w:rPr>
          <w:rFonts w:ascii="Times New Roman" w:hAnsi="Times New Roman" w:cs="Times New Roman"/>
          <w:color w:val="7030A0"/>
        </w:rPr>
        <w:t xml:space="preserve"> [2021] IEHC 20; </w:t>
      </w:r>
      <w:r w:rsidR="00842F05" w:rsidRPr="00842F05">
        <w:rPr>
          <w:rFonts w:ascii="Times New Roman" w:hAnsi="Times New Roman" w:cs="Times New Roman"/>
          <w:i/>
          <w:iCs/>
          <w:color w:val="7030A0"/>
        </w:rPr>
        <w:t>RH v AR</w:t>
      </w:r>
      <w:r w:rsidR="00842F05">
        <w:rPr>
          <w:rFonts w:ascii="Times New Roman" w:hAnsi="Times New Roman" w:cs="Times New Roman"/>
          <w:color w:val="7030A0"/>
        </w:rPr>
        <w:t xml:space="preserve"> (High Court, 12 April 2021).</w:t>
      </w:r>
      <w:r w:rsidRPr="00842F05">
        <w:rPr>
          <w:rFonts w:ascii="Times New Roman" w:hAnsi="Times New Roman" w:cs="Times New Roman"/>
          <w:color w:val="7030A0"/>
        </w:rPr>
        <w:t xml:space="preserve"> </w:t>
      </w:r>
    </w:p>
    <w:p w14:paraId="60BCB950" w14:textId="352DFBC2" w:rsidR="00DA5030" w:rsidRDefault="00DA5030" w:rsidP="008A76E4">
      <w:pPr>
        <w:pStyle w:val="Heading2"/>
        <w:jc w:val="both"/>
      </w:pPr>
      <w:r>
        <w:t>Article 13(2)</w:t>
      </w:r>
    </w:p>
    <w:p w14:paraId="4020219C" w14:textId="77777777" w:rsidR="00DA5030" w:rsidRPr="00DA5030" w:rsidRDefault="00DA5030" w:rsidP="008A76E4">
      <w:pPr>
        <w:jc w:val="both"/>
      </w:pPr>
    </w:p>
    <w:p w14:paraId="0FD8A537" w14:textId="77777777" w:rsidR="00200245" w:rsidRDefault="00F77372" w:rsidP="008A76E4">
      <w:pPr>
        <w:pStyle w:val="ListParagraph"/>
        <w:numPr>
          <w:ilvl w:val="0"/>
          <w:numId w:val="8"/>
        </w:numPr>
        <w:jc w:val="both"/>
        <w:rPr>
          <w:rFonts w:ascii="Times New Roman" w:hAnsi="Times New Roman" w:cs="Times New Roman"/>
        </w:rPr>
      </w:pPr>
      <w:r w:rsidRPr="00DA5030">
        <w:rPr>
          <w:rFonts w:ascii="Times New Roman" w:hAnsi="Times New Roman" w:cs="Times New Roman"/>
        </w:rPr>
        <w:t>Please consider Article 13(2)</w:t>
      </w:r>
      <w:r w:rsidR="00A91F59" w:rsidRPr="00DA5030">
        <w:rPr>
          <w:rFonts w:ascii="Times New Roman" w:hAnsi="Times New Roman" w:cs="Times New Roman"/>
        </w:rPr>
        <w:t xml:space="preserve"> -</w:t>
      </w:r>
      <w:r w:rsidRPr="00DA5030">
        <w:rPr>
          <w:rFonts w:ascii="Times New Roman" w:hAnsi="Times New Roman" w:cs="Times New Roman"/>
        </w:rPr>
        <w:t xml:space="preserve"> the “child’s views.” What is the main approach in your jurisdiction</w:t>
      </w:r>
      <w:r w:rsidR="00A91F59" w:rsidRPr="00DA5030">
        <w:rPr>
          <w:rFonts w:ascii="Times New Roman" w:hAnsi="Times New Roman" w:cs="Times New Roman"/>
        </w:rPr>
        <w:t xml:space="preserve"> in respect of matters such as the minimum age of the child</w:t>
      </w:r>
      <w:r w:rsidR="009851C5">
        <w:rPr>
          <w:rFonts w:ascii="Times New Roman" w:hAnsi="Times New Roman" w:cs="Times New Roman"/>
        </w:rPr>
        <w:t xml:space="preserve"> to use this provision</w:t>
      </w:r>
      <w:r w:rsidR="00A91F59" w:rsidRPr="00DA5030">
        <w:rPr>
          <w:rFonts w:ascii="Times New Roman" w:hAnsi="Times New Roman" w:cs="Times New Roman"/>
        </w:rPr>
        <w:t xml:space="preserve">, </w:t>
      </w:r>
      <w:r w:rsidR="00A32771" w:rsidRPr="00DA5030">
        <w:rPr>
          <w:rFonts w:ascii="Times New Roman" w:hAnsi="Times New Roman" w:cs="Times New Roman"/>
        </w:rPr>
        <w:t xml:space="preserve">possible </w:t>
      </w:r>
      <w:r w:rsidR="00A91F59" w:rsidRPr="00DA5030">
        <w:rPr>
          <w:rFonts w:ascii="Times New Roman" w:hAnsi="Times New Roman" w:cs="Times New Roman"/>
        </w:rPr>
        <w:t xml:space="preserve">automatic hearing of the child in non-intra EU cases, </w:t>
      </w:r>
      <w:r w:rsidR="00A32771" w:rsidRPr="00DA5030">
        <w:rPr>
          <w:rFonts w:ascii="Times New Roman" w:hAnsi="Times New Roman" w:cs="Times New Roman"/>
        </w:rPr>
        <w:t>court’s approach to the hearing of the child (e.g., direct communication with the judge; through a child psychologist report; separate representation, etc.)</w:t>
      </w:r>
      <w:r w:rsidRPr="00DA5030">
        <w:rPr>
          <w:rFonts w:ascii="Times New Roman" w:hAnsi="Times New Roman" w:cs="Times New Roman"/>
        </w:rPr>
        <w:t xml:space="preserve">? Please note any differences in approach between your jurisdiction and other jurisdictions </w:t>
      </w:r>
      <w:r w:rsidR="00A91F59" w:rsidRPr="00DA5030">
        <w:rPr>
          <w:rFonts w:ascii="Times New Roman" w:hAnsi="Times New Roman" w:cs="Times New Roman"/>
        </w:rPr>
        <w:t xml:space="preserve">that </w:t>
      </w:r>
      <w:r w:rsidRPr="00DA5030">
        <w:rPr>
          <w:rFonts w:ascii="Times New Roman" w:hAnsi="Times New Roman" w:cs="Times New Roman"/>
        </w:rPr>
        <w:t>you are aware of.</w:t>
      </w:r>
    </w:p>
    <w:p w14:paraId="0EBA6E07" w14:textId="77777777" w:rsidR="00200245" w:rsidRDefault="00200245" w:rsidP="00200245">
      <w:pPr>
        <w:pStyle w:val="ListParagraph"/>
        <w:jc w:val="both"/>
        <w:rPr>
          <w:rFonts w:ascii="Times New Roman" w:hAnsi="Times New Roman" w:cs="Times New Roman"/>
        </w:rPr>
      </w:pPr>
    </w:p>
    <w:p w14:paraId="67ACF8DC" w14:textId="5B652EBE" w:rsidR="00AF4E89" w:rsidRDefault="00844451" w:rsidP="00844451">
      <w:pPr>
        <w:jc w:val="both"/>
        <w:rPr>
          <w:rFonts w:ascii="Times New Roman" w:hAnsi="Times New Roman" w:cs="Times New Roman"/>
          <w:color w:val="7030A0"/>
        </w:rPr>
      </w:pPr>
      <w:r w:rsidRPr="00844451">
        <w:rPr>
          <w:rFonts w:ascii="Times New Roman" w:hAnsi="Times New Roman" w:cs="Times New Roman"/>
          <w:color w:val="7030A0"/>
        </w:rPr>
        <w:t xml:space="preserve">The approach in Ireland is very similar to that laid down in </w:t>
      </w:r>
      <w:r w:rsidR="00A038A6">
        <w:rPr>
          <w:rFonts w:ascii="Times New Roman" w:hAnsi="Times New Roman" w:cs="Times New Roman"/>
          <w:color w:val="7030A0"/>
        </w:rPr>
        <w:t xml:space="preserve">English law: see </w:t>
      </w:r>
      <w:r w:rsidRPr="00A038A6">
        <w:rPr>
          <w:rFonts w:ascii="Times New Roman" w:hAnsi="Times New Roman" w:cs="Times New Roman"/>
          <w:i/>
          <w:iCs/>
          <w:color w:val="7030A0"/>
        </w:rPr>
        <w:t>Re M</w:t>
      </w:r>
      <w:r w:rsidRPr="00844451">
        <w:rPr>
          <w:rFonts w:ascii="Times New Roman" w:hAnsi="Times New Roman" w:cs="Times New Roman"/>
          <w:color w:val="7030A0"/>
        </w:rPr>
        <w:t xml:space="preserve"> </w:t>
      </w:r>
      <w:r w:rsidR="00A038A6">
        <w:rPr>
          <w:rFonts w:ascii="Times New Roman" w:hAnsi="Times New Roman" w:cs="Times New Roman"/>
          <w:color w:val="7030A0"/>
        </w:rPr>
        <w:t xml:space="preserve">[2007] UKHL 55 </w:t>
      </w:r>
      <w:r w:rsidR="003D0DAC">
        <w:rPr>
          <w:rFonts w:ascii="Times New Roman" w:hAnsi="Times New Roman" w:cs="Times New Roman"/>
          <w:color w:val="7030A0"/>
        </w:rPr>
        <w:t xml:space="preserve">[46] </w:t>
      </w:r>
      <w:r w:rsidR="00A038A6">
        <w:rPr>
          <w:rFonts w:ascii="Times New Roman" w:hAnsi="Times New Roman" w:cs="Times New Roman"/>
          <w:color w:val="7030A0"/>
        </w:rPr>
        <w:t xml:space="preserve">cited with approval in </w:t>
      </w:r>
      <w:r w:rsidR="00A038A6" w:rsidRPr="00A038A6">
        <w:rPr>
          <w:rFonts w:ascii="Times New Roman" w:hAnsi="Times New Roman" w:cs="Times New Roman"/>
          <w:i/>
          <w:iCs/>
          <w:color w:val="7030A0"/>
        </w:rPr>
        <w:t>DM v VK</w:t>
      </w:r>
      <w:r w:rsidR="00A038A6">
        <w:rPr>
          <w:rFonts w:ascii="Times New Roman" w:hAnsi="Times New Roman" w:cs="Times New Roman"/>
          <w:color w:val="7030A0"/>
        </w:rPr>
        <w:t xml:space="preserve"> [2022] IECA 207 [93]</w:t>
      </w:r>
      <w:r w:rsidR="00A04843">
        <w:rPr>
          <w:rFonts w:ascii="Times New Roman" w:hAnsi="Times New Roman" w:cs="Times New Roman"/>
          <w:color w:val="7030A0"/>
        </w:rPr>
        <w:t xml:space="preserve"> ff</w:t>
      </w:r>
      <w:r w:rsidR="009471AD">
        <w:rPr>
          <w:rFonts w:ascii="Times New Roman" w:hAnsi="Times New Roman" w:cs="Times New Roman"/>
          <w:color w:val="7030A0"/>
        </w:rPr>
        <w:t xml:space="preserve">; </w:t>
      </w:r>
      <w:proofErr w:type="gramStart"/>
      <w:r w:rsidR="009471AD">
        <w:rPr>
          <w:rFonts w:ascii="Times New Roman" w:hAnsi="Times New Roman" w:cs="Times New Roman"/>
          <w:color w:val="7030A0"/>
        </w:rPr>
        <w:t>also</w:t>
      </w:r>
      <w:proofErr w:type="gramEnd"/>
      <w:r w:rsidR="009471AD">
        <w:rPr>
          <w:rFonts w:ascii="Times New Roman" w:hAnsi="Times New Roman" w:cs="Times New Roman"/>
          <w:color w:val="7030A0"/>
        </w:rPr>
        <w:t xml:space="preserve"> </w:t>
      </w:r>
      <w:r w:rsidR="009471AD" w:rsidRPr="00A04843">
        <w:rPr>
          <w:rFonts w:ascii="Times New Roman" w:hAnsi="Times New Roman" w:cs="Times New Roman"/>
          <w:i/>
          <w:iCs/>
          <w:color w:val="7030A0"/>
        </w:rPr>
        <w:t>JV v QI</w:t>
      </w:r>
      <w:r w:rsidR="009471AD">
        <w:rPr>
          <w:rFonts w:ascii="Times New Roman" w:hAnsi="Times New Roman" w:cs="Times New Roman"/>
          <w:color w:val="7030A0"/>
        </w:rPr>
        <w:t xml:space="preserve"> [2020] IECA 302 [101]</w:t>
      </w:r>
      <w:r w:rsidR="00A038A6">
        <w:rPr>
          <w:rFonts w:ascii="Times New Roman" w:hAnsi="Times New Roman" w:cs="Times New Roman"/>
          <w:color w:val="7030A0"/>
        </w:rPr>
        <w:t>.</w:t>
      </w:r>
      <w:r w:rsidR="00A04843">
        <w:rPr>
          <w:rFonts w:ascii="Times New Roman" w:hAnsi="Times New Roman" w:cs="Times New Roman"/>
          <w:color w:val="7030A0"/>
        </w:rPr>
        <w:t xml:space="preserve"> </w:t>
      </w:r>
      <w:r w:rsidR="00AF4E89" w:rsidRPr="00844451">
        <w:rPr>
          <w:rFonts w:ascii="Times New Roman" w:hAnsi="Times New Roman" w:cs="Times New Roman"/>
          <w:color w:val="7030A0"/>
        </w:rPr>
        <w:t>Children are heard through</w:t>
      </w:r>
      <w:r w:rsidR="00163A4C">
        <w:rPr>
          <w:rFonts w:ascii="Times New Roman" w:hAnsi="Times New Roman" w:cs="Times New Roman"/>
          <w:color w:val="7030A0"/>
        </w:rPr>
        <w:t xml:space="preserve"> the</w:t>
      </w:r>
      <w:r w:rsidR="00AF4E89" w:rsidRPr="00844451">
        <w:rPr>
          <w:rFonts w:ascii="Times New Roman" w:hAnsi="Times New Roman" w:cs="Times New Roman"/>
          <w:color w:val="7030A0"/>
        </w:rPr>
        <w:t xml:space="preserve"> report</w:t>
      </w:r>
      <w:r w:rsidR="00163A4C">
        <w:rPr>
          <w:rFonts w:ascii="Times New Roman" w:hAnsi="Times New Roman" w:cs="Times New Roman"/>
          <w:color w:val="7030A0"/>
        </w:rPr>
        <w:t xml:space="preserve"> of a clinical psychologist</w:t>
      </w:r>
      <w:r w:rsidR="00AF4E89" w:rsidRPr="00844451">
        <w:rPr>
          <w:rFonts w:ascii="Times New Roman" w:hAnsi="Times New Roman" w:cs="Times New Roman"/>
          <w:color w:val="7030A0"/>
        </w:rPr>
        <w:t xml:space="preserve">. There does not seem to be any </w:t>
      </w:r>
      <w:r w:rsidR="00F54E7E">
        <w:rPr>
          <w:rFonts w:ascii="Times New Roman" w:hAnsi="Times New Roman" w:cs="Times New Roman"/>
          <w:color w:val="7030A0"/>
        </w:rPr>
        <w:t xml:space="preserve">significant </w:t>
      </w:r>
      <w:r w:rsidR="00AF4E89" w:rsidRPr="00844451">
        <w:rPr>
          <w:rFonts w:ascii="Times New Roman" w:hAnsi="Times New Roman" w:cs="Times New Roman"/>
          <w:color w:val="7030A0"/>
        </w:rPr>
        <w:t>difference in approach as between intra-EU cases and non-intra-EU cases.</w:t>
      </w:r>
      <w:r w:rsidR="007C4B79">
        <w:rPr>
          <w:rFonts w:ascii="Times New Roman" w:hAnsi="Times New Roman" w:cs="Times New Roman"/>
          <w:color w:val="7030A0"/>
        </w:rPr>
        <w:t xml:space="preserve"> Even if Art 11(2) Brussels </w:t>
      </w:r>
      <w:proofErr w:type="spellStart"/>
      <w:r w:rsidR="007C4B79">
        <w:rPr>
          <w:rFonts w:ascii="Times New Roman" w:hAnsi="Times New Roman" w:cs="Times New Roman"/>
          <w:color w:val="7030A0"/>
        </w:rPr>
        <w:t>II</w:t>
      </w:r>
      <w:r w:rsidR="007C4B79" w:rsidRPr="00412A08">
        <w:rPr>
          <w:rFonts w:ascii="Times New Roman" w:hAnsi="Times New Roman" w:cs="Times New Roman"/>
          <w:i/>
          <w:iCs/>
          <w:color w:val="7030A0"/>
        </w:rPr>
        <w:t>bis</w:t>
      </w:r>
      <w:proofErr w:type="spellEnd"/>
      <w:r w:rsidR="007C4B79">
        <w:rPr>
          <w:rFonts w:ascii="Times New Roman" w:hAnsi="Times New Roman" w:cs="Times New Roman"/>
          <w:color w:val="7030A0"/>
        </w:rPr>
        <w:t xml:space="preserve"> did not apply (now A 26 Brussels II</w:t>
      </w:r>
      <w:r w:rsidR="007C4B79" w:rsidRPr="00412A08">
        <w:rPr>
          <w:rFonts w:ascii="Times New Roman" w:hAnsi="Times New Roman" w:cs="Times New Roman"/>
          <w:i/>
          <w:iCs/>
          <w:color w:val="7030A0"/>
        </w:rPr>
        <w:t>ter</w:t>
      </w:r>
      <w:r w:rsidR="007C4B79">
        <w:rPr>
          <w:rFonts w:ascii="Times New Roman" w:hAnsi="Times New Roman" w:cs="Times New Roman"/>
          <w:color w:val="7030A0"/>
        </w:rPr>
        <w:t xml:space="preserve">), the Irish courts would still take </w:t>
      </w:r>
      <w:r w:rsidR="00F54E7E">
        <w:rPr>
          <w:rFonts w:ascii="Times New Roman" w:hAnsi="Times New Roman" w:cs="Times New Roman"/>
          <w:color w:val="7030A0"/>
        </w:rPr>
        <w:t xml:space="preserve">broadly </w:t>
      </w:r>
      <w:r w:rsidR="007C4B79">
        <w:rPr>
          <w:rFonts w:ascii="Times New Roman" w:hAnsi="Times New Roman" w:cs="Times New Roman"/>
          <w:color w:val="7030A0"/>
        </w:rPr>
        <w:t xml:space="preserve">the same approach: see </w:t>
      </w:r>
      <w:r w:rsidR="007C4B79" w:rsidRPr="007C4B79">
        <w:rPr>
          <w:rFonts w:ascii="Times New Roman" w:hAnsi="Times New Roman" w:cs="Times New Roman"/>
          <w:i/>
          <w:iCs/>
          <w:color w:val="7030A0"/>
        </w:rPr>
        <w:t xml:space="preserve">MS v AR </w:t>
      </w:r>
      <w:r w:rsidR="007C4B79">
        <w:rPr>
          <w:rFonts w:ascii="Times New Roman" w:hAnsi="Times New Roman" w:cs="Times New Roman"/>
          <w:color w:val="7030A0"/>
        </w:rPr>
        <w:t xml:space="preserve">[2019] IESC 10 [47]; </w:t>
      </w:r>
      <w:proofErr w:type="gramStart"/>
      <w:r w:rsidR="007C4B79">
        <w:rPr>
          <w:rFonts w:ascii="Times New Roman" w:hAnsi="Times New Roman" w:cs="Times New Roman"/>
          <w:color w:val="7030A0"/>
        </w:rPr>
        <w:t>also</w:t>
      </w:r>
      <w:proofErr w:type="gramEnd"/>
      <w:r w:rsidR="007C4B79">
        <w:rPr>
          <w:rFonts w:ascii="Times New Roman" w:hAnsi="Times New Roman" w:cs="Times New Roman"/>
          <w:color w:val="7030A0"/>
        </w:rPr>
        <w:t xml:space="preserve"> </w:t>
      </w:r>
      <w:r w:rsidR="007873B1" w:rsidRPr="00A04843">
        <w:rPr>
          <w:rFonts w:ascii="Times New Roman" w:hAnsi="Times New Roman" w:cs="Times New Roman"/>
          <w:i/>
          <w:iCs/>
          <w:color w:val="7030A0"/>
        </w:rPr>
        <w:t>F v C</w:t>
      </w:r>
      <w:r w:rsidR="007873B1">
        <w:rPr>
          <w:rFonts w:ascii="Times New Roman" w:hAnsi="Times New Roman" w:cs="Times New Roman"/>
          <w:color w:val="7030A0"/>
        </w:rPr>
        <w:t xml:space="preserve"> [2022] IECA 194 (where children were heard in the context of a request for return to England after the UK left the EU).</w:t>
      </w:r>
      <w:r w:rsidR="00F54E7E">
        <w:rPr>
          <w:rFonts w:ascii="Times New Roman" w:hAnsi="Times New Roman" w:cs="Times New Roman"/>
          <w:color w:val="7030A0"/>
        </w:rPr>
        <w:t xml:space="preserve"> The Irish courts </w:t>
      </w:r>
      <w:r w:rsidR="00F54E7E">
        <w:rPr>
          <w:rFonts w:ascii="Times New Roman" w:hAnsi="Times New Roman" w:cs="Times New Roman"/>
          <w:color w:val="7030A0"/>
        </w:rPr>
        <w:lastRenderedPageBreak/>
        <w:t xml:space="preserve">have however emphasised that Article 11(6)-(8) </w:t>
      </w:r>
      <w:r w:rsidR="00811D53">
        <w:rPr>
          <w:rFonts w:ascii="Times New Roman" w:hAnsi="Times New Roman" w:cs="Times New Roman"/>
          <w:color w:val="7030A0"/>
        </w:rPr>
        <w:t xml:space="preserve">Brussels </w:t>
      </w:r>
      <w:proofErr w:type="spellStart"/>
      <w:r w:rsidR="00811D53">
        <w:rPr>
          <w:rFonts w:ascii="Times New Roman" w:hAnsi="Times New Roman" w:cs="Times New Roman"/>
          <w:color w:val="7030A0"/>
        </w:rPr>
        <w:t>II</w:t>
      </w:r>
      <w:r w:rsidR="00811D53" w:rsidRPr="00547CB3">
        <w:rPr>
          <w:rFonts w:ascii="Times New Roman" w:hAnsi="Times New Roman" w:cs="Times New Roman"/>
          <w:i/>
          <w:iCs/>
          <w:color w:val="7030A0"/>
        </w:rPr>
        <w:t>bis</w:t>
      </w:r>
      <w:proofErr w:type="spellEnd"/>
      <w:r w:rsidR="00811D53">
        <w:rPr>
          <w:rFonts w:ascii="Times New Roman" w:hAnsi="Times New Roman" w:cs="Times New Roman"/>
          <w:color w:val="7030A0"/>
        </w:rPr>
        <w:t xml:space="preserve"> </w:t>
      </w:r>
      <w:r w:rsidR="00F54E7E">
        <w:rPr>
          <w:rFonts w:ascii="Times New Roman" w:hAnsi="Times New Roman" w:cs="Times New Roman"/>
          <w:color w:val="7030A0"/>
        </w:rPr>
        <w:t xml:space="preserve">may be a consideration in </w:t>
      </w:r>
      <w:r w:rsidR="00811D53">
        <w:rPr>
          <w:rFonts w:ascii="Times New Roman" w:hAnsi="Times New Roman" w:cs="Times New Roman"/>
          <w:color w:val="7030A0"/>
        </w:rPr>
        <w:t>exercising discretion under</w:t>
      </w:r>
      <w:r w:rsidR="00F54E7E">
        <w:rPr>
          <w:rFonts w:ascii="Times New Roman" w:hAnsi="Times New Roman" w:cs="Times New Roman"/>
          <w:color w:val="7030A0"/>
        </w:rPr>
        <w:t xml:space="preserve"> A 13(2) </w:t>
      </w:r>
      <w:r w:rsidR="00811D53">
        <w:rPr>
          <w:rFonts w:ascii="Times New Roman" w:hAnsi="Times New Roman" w:cs="Times New Roman"/>
          <w:color w:val="7030A0"/>
        </w:rPr>
        <w:t xml:space="preserve">HCAC </w:t>
      </w:r>
      <w:r w:rsidR="00F54E7E">
        <w:rPr>
          <w:rFonts w:ascii="Times New Roman" w:hAnsi="Times New Roman" w:cs="Times New Roman"/>
          <w:color w:val="7030A0"/>
        </w:rPr>
        <w:t>in intra-EU cases (</w:t>
      </w:r>
      <w:proofErr w:type="spellStart"/>
      <w:r w:rsidR="00F54E7E">
        <w:rPr>
          <w:rFonts w:ascii="Times New Roman" w:hAnsi="Times New Roman" w:cs="Times New Roman"/>
          <w:color w:val="7030A0"/>
        </w:rPr>
        <w:t>ie</w:t>
      </w:r>
      <w:proofErr w:type="spellEnd"/>
      <w:r w:rsidR="00F54E7E">
        <w:rPr>
          <w:rFonts w:ascii="Times New Roman" w:hAnsi="Times New Roman" w:cs="Times New Roman"/>
          <w:color w:val="7030A0"/>
        </w:rPr>
        <w:t xml:space="preserve"> it may be relevant to consider that the requesting court may issue an overriding custody order which will be directly enforceable): </w:t>
      </w:r>
      <w:r w:rsidR="00F54E7E" w:rsidRPr="007C4B79">
        <w:rPr>
          <w:rFonts w:ascii="Times New Roman" w:hAnsi="Times New Roman" w:cs="Times New Roman"/>
          <w:i/>
          <w:iCs/>
          <w:color w:val="7030A0"/>
        </w:rPr>
        <w:t xml:space="preserve">MS v AR </w:t>
      </w:r>
      <w:r w:rsidR="00F54E7E">
        <w:rPr>
          <w:rFonts w:ascii="Times New Roman" w:hAnsi="Times New Roman" w:cs="Times New Roman"/>
          <w:color w:val="7030A0"/>
        </w:rPr>
        <w:t>[2019] IESC 10 [57]</w:t>
      </w:r>
      <w:r w:rsidR="00811D53">
        <w:rPr>
          <w:rFonts w:ascii="Times New Roman" w:hAnsi="Times New Roman" w:cs="Times New Roman"/>
          <w:color w:val="7030A0"/>
        </w:rPr>
        <w:t>, [66]</w:t>
      </w:r>
      <w:r w:rsidR="00F54E7E">
        <w:rPr>
          <w:rFonts w:ascii="Times New Roman" w:hAnsi="Times New Roman" w:cs="Times New Roman"/>
          <w:color w:val="7030A0"/>
        </w:rPr>
        <w:t>.</w:t>
      </w:r>
    </w:p>
    <w:p w14:paraId="07A5F563" w14:textId="2037DFA6" w:rsidR="00844451" w:rsidRPr="00412A08" w:rsidRDefault="00A04843" w:rsidP="00412A08">
      <w:pPr>
        <w:jc w:val="both"/>
        <w:rPr>
          <w:rFonts w:ascii="Times New Roman" w:hAnsi="Times New Roman" w:cs="Times New Roman"/>
          <w:color w:val="7030A0"/>
        </w:rPr>
      </w:pPr>
      <w:r>
        <w:rPr>
          <w:rFonts w:ascii="Times New Roman" w:hAnsi="Times New Roman" w:cs="Times New Roman"/>
          <w:color w:val="7030A0"/>
        </w:rPr>
        <w:t xml:space="preserve">The Irish courts have emphasised that </w:t>
      </w:r>
      <w:r w:rsidR="00AF4E89">
        <w:rPr>
          <w:rFonts w:ascii="Times New Roman" w:hAnsi="Times New Roman" w:cs="Times New Roman"/>
          <w:color w:val="7030A0"/>
        </w:rPr>
        <w:t>‘</w:t>
      </w:r>
      <w:r>
        <w:rPr>
          <w:rFonts w:ascii="Times New Roman" w:hAnsi="Times New Roman" w:cs="Times New Roman"/>
          <w:color w:val="7030A0"/>
        </w:rPr>
        <w:t>there is no chronological threshold below which the views of the child will not be taken into account’ (</w:t>
      </w:r>
      <w:r w:rsidRPr="00A04843">
        <w:rPr>
          <w:rFonts w:ascii="Times New Roman" w:hAnsi="Times New Roman" w:cs="Times New Roman"/>
          <w:i/>
          <w:iCs/>
          <w:color w:val="7030A0"/>
        </w:rPr>
        <w:t>JV v QI</w:t>
      </w:r>
      <w:r>
        <w:rPr>
          <w:rFonts w:ascii="Times New Roman" w:hAnsi="Times New Roman" w:cs="Times New Roman"/>
          <w:color w:val="7030A0"/>
        </w:rPr>
        <w:t xml:space="preserve"> [2020] IECA 302 [68]; </w:t>
      </w:r>
      <w:r w:rsidRPr="00A04843">
        <w:rPr>
          <w:rFonts w:ascii="Times New Roman" w:hAnsi="Times New Roman" w:cs="Times New Roman"/>
          <w:i/>
          <w:iCs/>
          <w:color w:val="7030A0"/>
        </w:rPr>
        <w:t>F v C</w:t>
      </w:r>
      <w:r>
        <w:rPr>
          <w:rFonts w:ascii="Times New Roman" w:hAnsi="Times New Roman" w:cs="Times New Roman"/>
          <w:color w:val="7030A0"/>
        </w:rPr>
        <w:t xml:space="preserve"> [2022] IECA 194 [45]</w:t>
      </w:r>
      <w:r w:rsidR="00AF4E89">
        <w:rPr>
          <w:rFonts w:ascii="Times New Roman" w:hAnsi="Times New Roman" w:cs="Times New Roman"/>
          <w:color w:val="7030A0"/>
        </w:rPr>
        <w:t>)</w:t>
      </w:r>
      <w:r>
        <w:rPr>
          <w:rFonts w:ascii="Times New Roman" w:hAnsi="Times New Roman" w:cs="Times New Roman"/>
          <w:color w:val="7030A0"/>
        </w:rPr>
        <w:t>.</w:t>
      </w:r>
      <w:r w:rsidR="00AF4E89">
        <w:rPr>
          <w:rFonts w:ascii="Times New Roman" w:hAnsi="Times New Roman" w:cs="Times New Roman"/>
          <w:color w:val="7030A0"/>
        </w:rPr>
        <w:t xml:space="preserve"> Abducted children aged 6 and 7 </w:t>
      </w:r>
      <w:r w:rsidR="00C0762F">
        <w:rPr>
          <w:rFonts w:ascii="Times New Roman" w:hAnsi="Times New Roman" w:cs="Times New Roman"/>
          <w:color w:val="7030A0"/>
        </w:rPr>
        <w:t xml:space="preserve">and older </w:t>
      </w:r>
      <w:r w:rsidR="00AF4E89">
        <w:rPr>
          <w:rFonts w:ascii="Times New Roman" w:hAnsi="Times New Roman" w:cs="Times New Roman"/>
          <w:color w:val="7030A0"/>
        </w:rPr>
        <w:t xml:space="preserve">are routinely interviewed by </w:t>
      </w:r>
      <w:r w:rsidR="002142DA">
        <w:rPr>
          <w:rFonts w:ascii="Times New Roman" w:hAnsi="Times New Roman" w:cs="Times New Roman"/>
          <w:color w:val="7030A0"/>
        </w:rPr>
        <w:t>clinical</w:t>
      </w:r>
      <w:r w:rsidR="00AF4E89">
        <w:rPr>
          <w:rFonts w:ascii="Times New Roman" w:hAnsi="Times New Roman" w:cs="Times New Roman"/>
          <w:color w:val="7030A0"/>
        </w:rPr>
        <w:t xml:space="preserve"> psychologists for the purposes of return proceedings (see </w:t>
      </w:r>
      <w:proofErr w:type="spellStart"/>
      <w:r w:rsidR="00AF4E89">
        <w:rPr>
          <w:rFonts w:ascii="Times New Roman" w:hAnsi="Times New Roman" w:cs="Times New Roman"/>
          <w:color w:val="7030A0"/>
        </w:rPr>
        <w:t>eg</w:t>
      </w:r>
      <w:proofErr w:type="spellEnd"/>
      <w:r w:rsidR="00AF4E89">
        <w:rPr>
          <w:rFonts w:ascii="Times New Roman" w:hAnsi="Times New Roman" w:cs="Times New Roman"/>
          <w:color w:val="7030A0"/>
        </w:rPr>
        <w:t xml:space="preserve"> </w:t>
      </w:r>
      <w:r w:rsidR="00AF4E89" w:rsidRPr="00A04843">
        <w:rPr>
          <w:rFonts w:ascii="Times New Roman" w:hAnsi="Times New Roman" w:cs="Times New Roman"/>
          <w:i/>
          <w:iCs/>
          <w:color w:val="7030A0"/>
        </w:rPr>
        <w:t>F v C</w:t>
      </w:r>
      <w:r w:rsidR="00AF4E89">
        <w:rPr>
          <w:rFonts w:ascii="Times New Roman" w:hAnsi="Times New Roman" w:cs="Times New Roman"/>
          <w:color w:val="7030A0"/>
        </w:rPr>
        <w:t xml:space="preserve"> [2022] IECA 194</w:t>
      </w:r>
      <w:r w:rsidR="00C0762F">
        <w:rPr>
          <w:rFonts w:ascii="Times New Roman" w:hAnsi="Times New Roman" w:cs="Times New Roman"/>
          <w:color w:val="7030A0"/>
        </w:rPr>
        <w:t xml:space="preserve">; </w:t>
      </w:r>
      <w:r w:rsidR="00C0762F" w:rsidRPr="00547CB3">
        <w:rPr>
          <w:rFonts w:ascii="Times New Roman" w:hAnsi="Times New Roman" w:cs="Times New Roman"/>
          <w:i/>
          <w:iCs/>
          <w:color w:val="7030A0"/>
        </w:rPr>
        <w:t>C v G</w:t>
      </w:r>
      <w:r w:rsidR="00C0762F">
        <w:rPr>
          <w:rFonts w:ascii="Times New Roman" w:hAnsi="Times New Roman" w:cs="Times New Roman"/>
          <w:color w:val="7030A0"/>
        </w:rPr>
        <w:t xml:space="preserve"> [2020] IECA 223</w:t>
      </w:r>
      <w:r w:rsidR="00AF4E89">
        <w:rPr>
          <w:rFonts w:ascii="Times New Roman" w:hAnsi="Times New Roman" w:cs="Times New Roman"/>
          <w:color w:val="7030A0"/>
        </w:rPr>
        <w:t>). In practice, it seems that Irish courts are likely to take the view that children aged 5 and under are not capable of forming a view</w:t>
      </w:r>
      <w:r w:rsidR="002142DA">
        <w:rPr>
          <w:rFonts w:ascii="Times New Roman" w:hAnsi="Times New Roman" w:cs="Times New Roman"/>
          <w:color w:val="7030A0"/>
        </w:rPr>
        <w:t xml:space="preserve"> and do not need to be interviewed</w:t>
      </w:r>
      <w:r w:rsidR="00F20ACD">
        <w:rPr>
          <w:rFonts w:ascii="Times New Roman" w:hAnsi="Times New Roman" w:cs="Times New Roman"/>
          <w:color w:val="7030A0"/>
        </w:rPr>
        <w:t xml:space="preserve">: see </w:t>
      </w:r>
      <w:r w:rsidR="00F20ACD" w:rsidRPr="00547CB3">
        <w:rPr>
          <w:rFonts w:ascii="Times New Roman" w:hAnsi="Times New Roman" w:cs="Times New Roman"/>
          <w:i/>
          <w:iCs/>
          <w:color w:val="7030A0"/>
        </w:rPr>
        <w:t>AK v US</w:t>
      </w:r>
      <w:r w:rsidR="00F20ACD">
        <w:rPr>
          <w:rFonts w:ascii="Times New Roman" w:hAnsi="Times New Roman" w:cs="Times New Roman"/>
          <w:color w:val="7030A0"/>
        </w:rPr>
        <w:t xml:space="preserve"> [2022] IECA 65 [1], [33]</w:t>
      </w:r>
      <w:r w:rsidR="002142DA">
        <w:rPr>
          <w:rFonts w:ascii="Times New Roman" w:hAnsi="Times New Roman" w:cs="Times New Roman"/>
          <w:color w:val="7030A0"/>
        </w:rPr>
        <w:t xml:space="preserve">; </w:t>
      </w:r>
      <w:r w:rsidR="00172AF9" w:rsidRPr="00547CB3">
        <w:rPr>
          <w:rFonts w:ascii="Times New Roman" w:hAnsi="Times New Roman" w:cs="Times New Roman"/>
          <w:i/>
          <w:iCs/>
          <w:color w:val="7030A0"/>
        </w:rPr>
        <w:t>CT v PS</w:t>
      </w:r>
      <w:r w:rsidR="00172AF9">
        <w:rPr>
          <w:rFonts w:ascii="Times New Roman" w:hAnsi="Times New Roman" w:cs="Times New Roman"/>
          <w:color w:val="7030A0"/>
        </w:rPr>
        <w:t xml:space="preserve"> [2021] IECA 132 [2], [18]</w:t>
      </w:r>
      <w:r w:rsidR="00C0762F">
        <w:rPr>
          <w:rFonts w:ascii="Times New Roman" w:hAnsi="Times New Roman" w:cs="Times New Roman"/>
          <w:color w:val="7030A0"/>
        </w:rPr>
        <w:t xml:space="preserve">; </w:t>
      </w:r>
      <w:r w:rsidR="00C0762F" w:rsidRPr="00547CB3">
        <w:rPr>
          <w:rFonts w:ascii="Times New Roman" w:hAnsi="Times New Roman" w:cs="Times New Roman"/>
          <w:i/>
          <w:iCs/>
          <w:color w:val="7030A0"/>
        </w:rPr>
        <w:t>CDG V JB</w:t>
      </w:r>
      <w:r w:rsidR="00C0762F">
        <w:rPr>
          <w:rFonts w:ascii="Times New Roman" w:hAnsi="Times New Roman" w:cs="Times New Roman"/>
          <w:color w:val="7030A0"/>
        </w:rPr>
        <w:t xml:space="preserve"> [2018] IECA 323 [18], [90]</w:t>
      </w:r>
      <w:r w:rsidR="00833ED9">
        <w:rPr>
          <w:rFonts w:ascii="Times New Roman" w:hAnsi="Times New Roman" w:cs="Times New Roman"/>
          <w:color w:val="7030A0"/>
        </w:rPr>
        <w:t>-[95]</w:t>
      </w:r>
      <w:r w:rsidR="00C574AD">
        <w:rPr>
          <w:rFonts w:ascii="Times New Roman" w:hAnsi="Times New Roman" w:cs="Times New Roman"/>
          <w:color w:val="7030A0"/>
        </w:rPr>
        <w:t xml:space="preserve">; </w:t>
      </w:r>
      <w:r w:rsidR="00C574AD" w:rsidRPr="00547CB3">
        <w:rPr>
          <w:rFonts w:ascii="Times New Roman" w:hAnsi="Times New Roman" w:cs="Times New Roman"/>
          <w:i/>
          <w:iCs/>
          <w:color w:val="7030A0"/>
        </w:rPr>
        <w:t>R v R</w:t>
      </w:r>
      <w:r w:rsidR="00C574AD">
        <w:rPr>
          <w:rFonts w:ascii="Times New Roman" w:hAnsi="Times New Roman" w:cs="Times New Roman"/>
          <w:color w:val="7030A0"/>
        </w:rPr>
        <w:t xml:space="preserve"> [</w:t>
      </w:r>
      <w:r w:rsidR="00430740">
        <w:rPr>
          <w:rFonts w:ascii="Times New Roman" w:hAnsi="Times New Roman" w:cs="Times New Roman"/>
          <w:color w:val="7030A0"/>
        </w:rPr>
        <w:t xml:space="preserve">2015] </w:t>
      </w:r>
      <w:r w:rsidR="00C574AD">
        <w:rPr>
          <w:rFonts w:ascii="Times New Roman" w:hAnsi="Times New Roman" w:cs="Times New Roman"/>
          <w:color w:val="7030A0"/>
        </w:rPr>
        <w:t>IECA</w:t>
      </w:r>
      <w:r w:rsidR="00430740">
        <w:rPr>
          <w:rFonts w:ascii="Times New Roman" w:hAnsi="Times New Roman" w:cs="Times New Roman"/>
          <w:color w:val="7030A0"/>
        </w:rPr>
        <w:t xml:space="preserve"> 265 [63]</w:t>
      </w:r>
      <w:r w:rsidR="00906ECD">
        <w:rPr>
          <w:rFonts w:ascii="Times New Roman" w:hAnsi="Times New Roman" w:cs="Times New Roman"/>
          <w:color w:val="7030A0"/>
        </w:rPr>
        <w:t xml:space="preserve">; </w:t>
      </w:r>
      <w:r w:rsidR="00906ECD" w:rsidRPr="007C4B79">
        <w:rPr>
          <w:rFonts w:ascii="Times New Roman" w:hAnsi="Times New Roman" w:cs="Times New Roman"/>
          <w:i/>
          <w:iCs/>
          <w:color w:val="7030A0"/>
        </w:rPr>
        <w:t xml:space="preserve">MS v AR </w:t>
      </w:r>
      <w:r w:rsidR="00906ECD">
        <w:rPr>
          <w:rFonts w:ascii="Times New Roman" w:hAnsi="Times New Roman" w:cs="Times New Roman"/>
          <w:color w:val="7030A0"/>
        </w:rPr>
        <w:t>[2019] IESC 10 [30]</w:t>
      </w:r>
      <w:r w:rsidR="00833ED9">
        <w:rPr>
          <w:rFonts w:ascii="Times New Roman" w:hAnsi="Times New Roman" w:cs="Times New Roman"/>
          <w:color w:val="7030A0"/>
        </w:rPr>
        <w:t xml:space="preserve"> – although there are examples of five year olds being interviewed for return proceedings</w:t>
      </w:r>
      <w:r w:rsidR="00470A2F">
        <w:rPr>
          <w:rFonts w:ascii="Times New Roman" w:hAnsi="Times New Roman" w:cs="Times New Roman"/>
          <w:color w:val="7030A0"/>
        </w:rPr>
        <w:t>: see</w:t>
      </w:r>
      <w:r w:rsidR="00833ED9">
        <w:rPr>
          <w:rFonts w:ascii="Times New Roman" w:hAnsi="Times New Roman" w:cs="Times New Roman"/>
          <w:color w:val="7030A0"/>
        </w:rPr>
        <w:t xml:space="preserve"> </w:t>
      </w:r>
      <w:r w:rsidR="00833ED9" w:rsidRPr="00833ED9">
        <w:rPr>
          <w:rFonts w:ascii="Times New Roman" w:hAnsi="Times New Roman" w:cs="Times New Roman"/>
          <w:i/>
          <w:iCs/>
          <w:color w:val="7030A0"/>
        </w:rPr>
        <w:t>KW v PW</w:t>
      </w:r>
      <w:r w:rsidR="00833ED9">
        <w:rPr>
          <w:rFonts w:ascii="Times New Roman" w:hAnsi="Times New Roman" w:cs="Times New Roman"/>
          <w:color w:val="7030A0"/>
        </w:rPr>
        <w:t xml:space="preserve">  [2016] IECA 364 [20]-[22]</w:t>
      </w:r>
      <w:r w:rsidR="00AF4E89">
        <w:rPr>
          <w:rFonts w:ascii="Times New Roman" w:hAnsi="Times New Roman" w:cs="Times New Roman"/>
          <w:color w:val="7030A0"/>
        </w:rPr>
        <w:t xml:space="preserve">.  </w:t>
      </w:r>
      <w:r w:rsidR="00844451" w:rsidRPr="00844451">
        <w:rPr>
          <w:rFonts w:ascii="Times New Roman" w:hAnsi="Times New Roman" w:cs="Times New Roman"/>
          <w:color w:val="7030A0"/>
        </w:rPr>
        <w:t xml:space="preserve">   </w:t>
      </w:r>
    </w:p>
    <w:p w14:paraId="70E204C5" w14:textId="0486A086" w:rsidR="00DA5030" w:rsidRDefault="00DA5030" w:rsidP="008A76E4">
      <w:pPr>
        <w:pStyle w:val="Heading2"/>
        <w:jc w:val="both"/>
      </w:pPr>
      <w:r>
        <w:t>Article 4 – “habitual residence”</w:t>
      </w:r>
    </w:p>
    <w:p w14:paraId="3BC8D7F9" w14:textId="77777777" w:rsidR="00DA5030" w:rsidRPr="00DA5030" w:rsidRDefault="00DA5030" w:rsidP="008A76E4">
      <w:pPr>
        <w:jc w:val="both"/>
      </w:pPr>
    </w:p>
    <w:p w14:paraId="19CF0FB5" w14:textId="3278EF45" w:rsidR="00C7229C" w:rsidRDefault="00CD4BEF" w:rsidP="008A76E4">
      <w:pPr>
        <w:pStyle w:val="ListParagraph"/>
        <w:numPr>
          <w:ilvl w:val="0"/>
          <w:numId w:val="8"/>
        </w:numPr>
        <w:jc w:val="both"/>
        <w:rPr>
          <w:rFonts w:ascii="Times New Roman" w:hAnsi="Times New Roman" w:cs="Times New Roman"/>
        </w:rPr>
      </w:pPr>
      <w:r>
        <w:rPr>
          <w:rFonts w:ascii="Times New Roman" w:hAnsi="Times New Roman" w:cs="Times New Roman"/>
        </w:rPr>
        <w:t xml:space="preserve">Is the concept of “habitual </w:t>
      </w:r>
      <w:r w:rsidR="00246C02">
        <w:rPr>
          <w:rFonts w:ascii="Times New Roman" w:hAnsi="Times New Roman" w:cs="Times New Roman"/>
        </w:rPr>
        <w:t>residence” interpreted differently</w:t>
      </w:r>
      <w:r w:rsidR="004B5029">
        <w:rPr>
          <w:rFonts w:ascii="Times New Roman" w:hAnsi="Times New Roman" w:cs="Times New Roman"/>
        </w:rPr>
        <w:t xml:space="preserve"> in your jurisdiction</w:t>
      </w:r>
      <w:r w:rsidR="00246C02">
        <w:rPr>
          <w:rFonts w:ascii="Times New Roman" w:hAnsi="Times New Roman" w:cs="Times New Roman"/>
        </w:rPr>
        <w:t xml:space="preserve"> in</w:t>
      </w:r>
      <w:r w:rsidR="004B5029">
        <w:rPr>
          <w:rFonts w:ascii="Times New Roman" w:hAnsi="Times New Roman" w:cs="Times New Roman"/>
        </w:rPr>
        <w:t>: 1.)</w:t>
      </w:r>
      <w:r w:rsidR="00246C02">
        <w:rPr>
          <w:rFonts w:ascii="Times New Roman" w:hAnsi="Times New Roman" w:cs="Times New Roman"/>
        </w:rPr>
        <w:t xml:space="preserve"> intra-EU cases,</w:t>
      </w:r>
      <w:r w:rsidR="004B5029">
        <w:rPr>
          <w:rFonts w:ascii="Times New Roman" w:hAnsi="Times New Roman" w:cs="Times New Roman"/>
        </w:rPr>
        <w:t xml:space="preserve"> 2.) </w:t>
      </w:r>
      <w:r w:rsidR="00246C02">
        <w:rPr>
          <w:rFonts w:ascii="Times New Roman" w:hAnsi="Times New Roman" w:cs="Times New Roman"/>
        </w:rPr>
        <w:t>cases involving third states</w:t>
      </w:r>
      <w:r w:rsidR="004B5029">
        <w:rPr>
          <w:rFonts w:ascii="Times New Roman" w:hAnsi="Times New Roman" w:cs="Times New Roman"/>
        </w:rPr>
        <w:t>, and 3.)</w:t>
      </w:r>
      <w:r w:rsidR="00246C02">
        <w:rPr>
          <w:rFonts w:ascii="Times New Roman" w:hAnsi="Times New Roman" w:cs="Times New Roman"/>
        </w:rPr>
        <w:t xml:space="preserve"> cases involving states that are not contracting parties to the 1980 Convention (i.e., when applying national PIL rules)? </w:t>
      </w:r>
      <w:r w:rsidR="00673187">
        <w:rPr>
          <w:rFonts w:ascii="Times New Roman" w:hAnsi="Times New Roman" w:cs="Times New Roman"/>
        </w:rPr>
        <w:t>Please explain</w:t>
      </w:r>
      <w:r w:rsidR="00900386">
        <w:rPr>
          <w:rFonts w:ascii="Times New Roman" w:hAnsi="Times New Roman" w:cs="Times New Roman"/>
        </w:rPr>
        <w:t>.</w:t>
      </w:r>
    </w:p>
    <w:p w14:paraId="47010869" w14:textId="1E7A8001" w:rsidR="00375DF6" w:rsidRDefault="00723D0F" w:rsidP="007F6AE2">
      <w:pPr>
        <w:jc w:val="both"/>
        <w:rPr>
          <w:rFonts w:ascii="Times New Roman" w:hAnsi="Times New Roman" w:cs="Times New Roman"/>
          <w:color w:val="7030A0"/>
        </w:rPr>
      </w:pPr>
      <w:r>
        <w:rPr>
          <w:rFonts w:ascii="Times New Roman" w:hAnsi="Times New Roman" w:cs="Times New Roman"/>
          <w:color w:val="7030A0"/>
        </w:rPr>
        <w:t xml:space="preserve">Again, Irish law closely follows English law in defining ‘habitual residence’: see </w:t>
      </w:r>
      <w:proofErr w:type="spellStart"/>
      <w:r>
        <w:rPr>
          <w:rFonts w:ascii="Times New Roman" w:hAnsi="Times New Roman" w:cs="Times New Roman"/>
          <w:color w:val="7030A0"/>
        </w:rPr>
        <w:t>eg</w:t>
      </w:r>
      <w:proofErr w:type="spellEnd"/>
      <w:r>
        <w:rPr>
          <w:rFonts w:ascii="Times New Roman" w:hAnsi="Times New Roman" w:cs="Times New Roman"/>
          <w:color w:val="7030A0"/>
        </w:rPr>
        <w:t xml:space="preserve"> </w:t>
      </w:r>
      <w:r w:rsidRPr="00BF208E">
        <w:rPr>
          <w:rFonts w:ascii="Times New Roman" w:hAnsi="Times New Roman" w:cs="Times New Roman"/>
          <w:i/>
          <w:iCs/>
          <w:color w:val="7030A0"/>
        </w:rPr>
        <w:t>AK v US</w:t>
      </w:r>
      <w:r>
        <w:rPr>
          <w:rFonts w:ascii="Times New Roman" w:hAnsi="Times New Roman" w:cs="Times New Roman"/>
          <w:color w:val="7030A0"/>
        </w:rPr>
        <w:t xml:space="preserve"> [2022] IECA 65 [38]-[39] referring to </w:t>
      </w:r>
      <w:r w:rsidRPr="00BF208E">
        <w:rPr>
          <w:rFonts w:ascii="Times New Roman" w:hAnsi="Times New Roman" w:cs="Times New Roman"/>
          <w:i/>
          <w:iCs/>
          <w:color w:val="7030A0"/>
        </w:rPr>
        <w:t>A v A</w:t>
      </w:r>
      <w:r>
        <w:rPr>
          <w:rFonts w:ascii="Times New Roman" w:hAnsi="Times New Roman" w:cs="Times New Roman"/>
          <w:color w:val="7030A0"/>
        </w:rPr>
        <w:t xml:space="preserve"> [2013] UKSC 60 and </w:t>
      </w:r>
      <w:r w:rsidRPr="00BF208E">
        <w:rPr>
          <w:rFonts w:ascii="Times New Roman" w:hAnsi="Times New Roman" w:cs="Times New Roman"/>
          <w:i/>
          <w:iCs/>
          <w:color w:val="7030A0"/>
        </w:rPr>
        <w:t>Re R</w:t>
      </w:r>
      <w:r>
        <w:rPr>
          <w:rFonts w:ascii="Times New Roman" w:hAnsi="Times New Roman" w:cs="Times New Roman"/>
          <w:color w:val="7030A0"/>
        </w:rPr>
        <w:t xml:space="preserve"> [2015] UKSC 35 with approval.</w:t>
      </w:r>
      <w:r w:rsidR="00BF208E">
        <w:rPr>
          <w:rFonts w:ascii="Times New Roman" w:hAnsi="Times New Roman" w:cs="Times New Roman"/>
          <w:color w:val="7030A0"/>
        </w:rPr>
        <w:t xml:space="preserve"> It appears to be accepted that the same conception of habitual residence should be used in intra-EU HCAC return proceedings and non-intra-EU HCAC return proceedings: see </w:t>
      </w:r>
      <w:proofErr w:type="spellStart"/>
      <w:r w:rsidR="00BF208E">
        <w:rPr>
          <w:rFonts w:ascii="Times New Roman" w:hAnsi="Times New Roman" w:cs="Times New Roman"/>
          <w:color w:val="7030A0"/>
        </w:rPr>
        <w:t>eg</w:t>
      </w:r>
      <w:proofErr w:type="spellEnd"/>
      <w:r w:rsidR="00BF208E">
        <w:rPr>
          <w:rFonts w:ascii="Times New Roman" w:hAnsi="Times New Roman" w:cs="Times New Roman"/>
          <w:color w:val="7030A0"/>
        </w:rPr>
        <w:t xml:space="preserve"> </w:t>
      </w:r>
      <w:r w:rsidR="00BF208E" w:rsidRPr="00BF208E">
        <w:rPr>
          <w:rFonts w:ascii="Times New Roman" w:hAnsi="Times New Roman" w:cs="Times New Roman"/>
          <w:i/>
          <w:iCs/>
          <w:color w:val="7030A0"/>
        </w:rPr>
        <w:t>AK v US</w:t>
      </w:r>
      <w:r w:rsidR="00BF208E">
        <w:rPr>
          <w:rFonts w:ascii="Times New Roman" w:hAnsi="Times New Roman" w:cs="Times New Roman"/>
          <w:color w:val="7030A0"/>
        </w:rPr>
        <w:t xml:space="preserve"> [2022] IECA 65 </w:t>
      </w:r>
      <w:r w:rsidR="00D1182C">
        <w:rPr>
          <w:rFonts w:ascii="Times New Roman" w:hAnsi="Times New Roman" w:cs="Times New Roman"/>
          <w:color w:val="7030A0"/>
        </w:rPr>
        <w:t xml:space="preserve">[42], </w:t>
      </w:r>
      <w:r w:rsidR="00BF208E">
        <w:rPr>
          <w:rFonts w:ascii="Times New Roman" w:hAnsi="Times New Roman" w:cs="Times New Roman"/>
          <w:color w:val="7030A0"/>
        </w:rPr>
        <w:t xml:space="preserve">[57], </w:t>
      </w:r>
      <w:r w:rsidR="00D1182C">
        <w:rPr>
          <w:rFonts w:ascii="Times New Roman" w:hAnsi="Times New Roman" w:cs="Times New Roman"/>
          <w:color w:val="7030A0"/>
        </w:rPr>
        <w:t>[63]</w:t>
      </w:r>
      <w:r w:rsidR="00BF208E">
        <w:rPr>
          <w:rFonts w:ascii="Times New Roman" w:hAnsi="Times New Roman" w:cs="Times New Roman"/>
          <w:color w:val="7030A0"/>
        </w:rPr>
        <w:t xml:space="preserve"> </w:t>
      </w:r>
      <w:r w:rsidR="00D1182C">
        <w:rPr>
          <w:rFonts w:ascii="Times New Roman" w:hAnsi="Times New Roman" w:cs="Times New Roman"/>
          <w:color w:val="7030A0"/>
        </w:rPr>
        <w:t xml:space="preserve">ff </w:t>
      </w:r>
      <w:r w:rsidR="00BF208E">
        <w:rPr>
          <w:rFonts w:ascii="Times New Roman" w:hAnsi="Times New Roman" w:cs="Times New Roman"/>
          <w:color w:val="7030A0"/>
        </w:rPr>
        <w:t xml:space="preserve">referring to </w:t>
      </w:r>
      <w:r w:rsidR="00BF208E" w:rsidRPr="00BF208E">
        <w:rPr>
          <w:rFonts w:ascii="Times New Roman" w:hAnsi="Times New Roman" w:cs="Times New Roman"/>
          <w:i/>
          <w:iCs/>
          <w:color w:val="7030A0"/>
        </w:rPr>
        <w:t>A v A</w:t>
      </w:r>
      <w:r w:rsidR="00BF208E">
        <w:rPr>
          <w:rFonts w:ascii="Times New Roman" w:hAnsi="Times New Roman" w:cs="Times New Roman"/>
          <w:color w:val="7030A0"/>
        </w:rPr>
        <w:t xml:space="preserve"> [2013] UKSC 60 [54] and citing EU case-law on habitual residence in assessing a post-Brexit application for return to the UK</w:t>
      </w:r>
      <w:r w:rsidR="00262426">
        <w:rPr>
          <w:rFonts w:ascii="Times New Roman" w:hAnsi="Times New Roman" w:cs="Times New Roman"/>
          <w:color w:val="7030A0"/>
        </w:rPr>
        <w:t xml:space="preserve">; also </w:t>
      </w:r>
      <w:r w:rsidR="00262426" w:rsidRPr="00262426">
        <w:rPr>
          <w:rFonts w:ascii="Times New Roman" w:hAnsi="Times New Roman" w:cs="Times New Roman"/>
          <w:i/>
          <w:iCs/>
          <w:color w:val="7030A0"/>
        </w:rPr>
        <w:t>KW v PW</w:t>
      </w:r>
      <w:r w:rsidR="00262426">
        <w:rPr>
          <w:rFonts w:ascii="Times New Roman" w:hAnsi="Times New Roman" w:cs="Times New Roman"/>
          <w:color w:val="7030A0"/>
        </w:rPr>
        <w:t xml:space="preserve"> [2016] IECA 364; </w:t>
      </w:r>
      <w:r w:rsidR="00375DF6">
        <w:rPr>
          <w:rFonts w:ascii="Times New Roman" w:hAnsi="Times New Roman" w:cs="Times New Roman"/>
          <w:color w:val="7030A0"/>
        </w:rPr>
        <w:t xml:space="preserve">also </w:t>
      </w:r>
      <w:r w:rsidR="00375DF6" w:rsidRPr="00262426">
        <w:rPr>
          <w:rFonts w:ascii="Times New Roman" w:hAnsi="Times New Roman" w:cs="Times New Roman"/>
          <w:i/>
          <w:iCs/>
          <w:color w:val="7030A0"/>
        </w:rPr>
        <w:t>J le J v AT</w:t>
      </w:r>
      <w:r w:rsidR="00375DF6">
        <w:rPr>
          <w:rFonts w:ascii="Times New Roman" w:hAnsi="Times New Roman" w:cs="Times New Roman"/>
          <w:color w:val="7030A0"/>
        </w:rPr>
        <w:t xml:space="preserve"> [2021] IEHC 219 </w:t>
      </w:r>
      <w:r w:rsidR="00262426">
        <w:rPr>
          <w:rFonts w:ascii="Times New Roman" w:hAnsi="Times New Roman" w:cs="Times New Roman"/>
          <w:color w:val="7030A0"/>
        </w:rPr>
        <w:t xml:space="preserve">[3.4], </w:t>
      </w:r>
      <w:r w:rsidR="00375DF6">
        <w:rPr>
          <w:rFonts w:ascii="Times New Roman" w:hAnsi="Times New Roman" w:cs="Times New Roman"/>
          <w:color w:val="7030A0"/>
        </w:rPr>
        <w:t>[6.5]</w:t>
      </w:r>
      <w:r w:rsidR="00262426">
        <w:rPr>
          <w:rFonts w:ascii="Times New Roman" w:hAnsi="Times New Roman" w:cs="Times New Roman"/>
          <w:color w:val="7030A0"/>
        </w:rPr>
        <w:t>-[6.6].</w:t>
      </w:r>
      <w:r w:rsidR="00375DF6">
        <w:rPr>
          <w:rFonts w:ascii="Times New Roman" w:hAnsi="Times New Roman" w:cs="Times New Roman"/>
          <w:color w:val="7030A0"/>
        </w:rPr>
        <w:t xml:space="preserve"> </w:t>
      </w:r>
      <w:r w:rsidR="00BD1955">
        <w:rPr>
          <w:rFonts w:ascii="Times New Roman" w:hAnsi="Times New Roman" w:cs="Times New Roman"/>
          <w:color w:val="7030A0"/>
        </w:rPr>
        <w:t xml:space="preserve">It also seems to be accepted in Ireland that the same (EU) concept of habitual residence should be used in cases involving non-HCAC countries: </w:t>
      </w:r>
      <w:r w:rsidR="00BD1955" w:rsidRPr="00BD1955">
        <w:rPr>
          <w:rFonts w:ascii="Times New Roman" w:hAnsi="Times New Roman" w:cs="Times New Roman"/>
          <w:i/>
          <w:iCs/>
          <w:color w:val="7030A0"/>
        </w:rPr>
        <w:t>AQ v KJ</w:t>
      </w:r>
      <w:r w:rsidR="00BD1955">
        <w:rPr>
          <w:rFonts w:ascii="Times New Roman" w:hAnsi="Times New Roman" w:cs="Times New Roman"/>
          <w:color w:val="7030A0"/>
        </w:rPr>
        <w:t xml:space="preserve"> [2022] IECA 297 [21] ff.</w:t>
      </w:r>
    </w:p>
    <w:p w14:paraId="1DD18A89" w14:textId="34AA4336" w:rsidR="00C7229C" w:rsidRPr="00262426" w:rsidRDefault="00C7229C" w:rsidP="00262426">
      <w:pPr>
        <w:jc w:val="both"/>
        <w:rPr>
          <w:rFonts w:ascii="Times New Roman" w:hAnsi="Times New Roman" w:cs="Times New Roman"/>
        </w:rPr>
      </w:pPr>
    </w:p>
    <w:p w14:paraId="06E5012D" w14:textId="77777777" w:rsidR="00F408AF" w:rsidRPr="003F1C58" w:rsidRDefault="00F408AF" w:rsidP="008A76E4">
      <w:pPr>
        <w:pStyle w:val="Heading2"/>
        <w:numPr>
          <w:ilvl w:val="0"/>
          <w:numId w:val="6"/>
        </w:numPr>
        <w:jc w:val="both"/>
        <w:rPr>
          <w:rFonts w:ascii="Times New Roman" w:hAnsi="Times New Roman" w:cs="Times New Roman"/>
          <w:b/>
          <w:bCs/>
          <w:sz w:val="24"/>
          <w:szCs w:val="24"/>
        </w:rPr>
      </w:pPr>
      <w:r w:rsidRPr="003F1C58">
        <w:rPr>
          <w:rFonts w:ascii="Times New Roman" w:hAnsi="Times New Roman" w:cs="Times New Roman"/>
          <w:b/>
          <w:bCs/>
          <w:sz w:val="24"/>
          <w:szCs w:val="24"/>
        </w:rPr>
        <w:t>Convention of 19 October 1996 on Jurisdiction, Applicable Law, Recognition, Enforcement and Co-operation in Respect of Parental Responsibility and Measures for the Protection of Children</w:t>
      </w:r>
    </w:p>
    <w:p w14:paraId="1CAF957D" w14:textId="77777777" w:rsidR="00C7229C" w:rsidRDefault="00C7229C" w:rsidP="008A76E4">
      <w:pPr>
        <w:jc w:val="both"/>
        <w:rPr>
          <w:rFonts w:ascii="Times New Roman" w:hAnsi="Times New Roman" w:cs="Times New Roman"/>
        </w:rPr>
      </w:pPr>
    </w:p>
    <w:p w14:paraId="0FD7CC73" w14:textId="250E7E7D" w:rsidR="00C50537" w:rsidRPr="007B63E9" w:rsidRDefault="00C50537" w:rsidP="008A76E4">
      <w:pPr>
        <w:jc w:val="both"/>
        <w:rPr>
          <w:rFonts w:ascii="Times New Roman" w:hAnsi="Times New Roman" w:cs="Times New Roman"/>
          <w:color w:val="7030A0"/>
        </w:rPr>
      </w:pPr>
      <w:r w:rsidRPr="007B63E9">
        <w:rPr>
          <w:rFonts w:ascii="Times New Roman" w:hAnsi="Times New Roman" w:cs="Times New Roman"/>
          <w:color w:val="7030A0"/>
        </w:rPr>
        <w:t>There is very little Irish case-law to date on the 1996 P</w:t>
      </w:r>
      <w:r w:rsidR="009C1F68">
        <w:rPr>
          <w:rFonts w:ascii="Times New Roman" w:hAnsi="Times New Roman" w:cs="Times New Roman"/>
          <w:color w:val="7030A0"/>
        </w:rPr>
        <w:t>rotection of Children</w:t>
      </w:r>
      <w:r w:rsidRPr="007B63E9">
        <w:rPr>
          <w:rFonts w:ascii="Times New Roman" w:hAnsi="Times New Roman" w:cs="Times New Roman"/>
          <w:color w:val="7030A0"/>
        </w:rPr>
        <w:t xml:space="preserve"> Convention (POCC). In those cases where POCC is mentioned, it is usually </w:t>
      </w:r>
      <w:r w:rsidR="007B63E9">
        <w:rPr>
          <w:rFonts w:ascii="Times New Roman" w:hAnsi="Times New Roman" w:cs="Times New Roman"/>
          <w:color w:val="7030A0"/>
        </w:rPr>
        <w:t xml:space="preserve">only </w:t>
      </w:r>
      <w:r w:rsidRPr="007B63E9">
        <w:rPr>
          <w:rFonts w:ascii="Times New Roman" w:hAnsi="Times New Roman" w:cs="Times New Roman"/>
          <w:color w:val="7030A0"/>
        </w:rPr>
        <w:t xml:space="preserve">to confirm that it does not </w:t>
      </w:r>
      <w:proofErr w:type="gramStart"/>
      <w:r w:rsidRPr="007B63E9">
        <w:rPr>
          <w:rFonts w:ascii="Times New Roman" w:hAnsi="Times New Roman" w:cs="Times New Roman"/>
          <w:color w:val="7030A0"/>
        </w:rPr>
        <w:t>apply:</w:t>
      </w:r>
      <w:proofErr w:type="gramEnd"/>
      <w:r w:rsidRPr="007B63E9">
        <w:rPr>
          <w:rFonts w:ascii="Times New Roman" w:hAnsi="Times New Roman" w:cs="Times New Roman"/>
          <w:color w:val="7030A0"/>
        </w:rPr>
        <w:t xml:space="preserve"> see </w:t>
      </w:r>
      <w:proofErr w:type="spellStart"/>
      <w:r w:rsidRPr="007B63E9">
        <w:rPr>
          <w:rFonts w:ascii="Times New Roman" w:hAnsi="Times New Roman" w:cs="Times New Roman"/>
          <w:color w:val="7030A0"/>
        </w:rPr>
        <w:t>eg</w:t>
      </w:r>
      <w:proofErr w:type="spellEnd"/>
      <w:r w:rsidRPr="007B63E9">
        <w:rPr>
          <w:rFonts w:ascii="Times New Roman" w:hAnsi="Times New Roman" w:cs="Times New Roman"/>
          <w:color w:val="7030A0"/>
        </w:rPr>
        <w:t xml:space="preserve"> </w:t>
      </w:r>
      <w:r w:rsidRPr="007B63E9">
        <w:rPr>
          <w:rFonts w:ascii="Times New Roman" w:hAnsi="Times New Roman" w:cs="Times New Roman"/>
          <w:i/>
          <w:iCs/>
          <w:color w:val="7030A0"/>
        </w:rPr>
        <w:t xml:space="preserve">KJ v AMQ </w:t>
      </w:r>
      <w:r w:rsidRPr="007B63E9">
        <w:rPr>
          <w:rFonts w:ascii="Times New Roman" w:hAnsi="Times New Roman" w:cs="Times New Roman"/>
          <w:color w:val="7030A0"/>
        </w:rPr>
        <w:t>[2022] IECA 295</w:t>
      </w:r>
      <w:r w:rsidR="007B63E9" w:rsidRPr="007B63E9">
        <w:rPr>
          <w:rFonts w:ascii="Times New Roman" w:hAnsi="Times New Roman" w:cs="Times New Roman"/>
          <w:color w:val="7030A0"/>
        </w:rPr>
        <w:t xml:space="preserve"> [6]</w:t>
      </w:r>
      <w:r w:rsidRPr="007B63E9">
        <w:rPr>
          <w:rFonts w:ascii="Times New Roman" w:hAnsi="Times New Roman" w:cs="Times New Roman"/>
          <w:color w:val="7030A0"/>
        </w:rPr>
        <w:t xml:space="preserve">; </w:t>
      </w:r>
      <w:r w:rsidR="007D3745" w:rsidRPr="007D3745">
        <w:rPr>
          <w:rFonts w:ascii="Times New Roman" w:hAnsi="Times New Roman" w:cs="Times New Roman"/>
          <w:i/>
          <w:iCs/>
          <w:color w:val="7030A0"/>
        </w:rPr>
        <w:t>AMQ v KJ</w:t>
      </w:r>
      <w:r w:rsidR="007D3745">
        <w:rPr>
          <w:rFonts w:ascii="Times New Roman" w:hAnsi="Times New Roman" w:cs="Times New Roman"/>
          <w:color w:val="7030A0"/>
        </w:rPr>
        <w:t xml:space="preserve"> </w:t>
      </w:r>
      <w:r w:rsidRPr="007B63E9">
        <w:rPr>
          <w:rFonts w:ascii="Times New Roman" w:hAnsi="Times New Roman" w:cs="Times New Roman"/>
          <w:color w:val="7030A0"/>
        </w:rPr>
        <w:t>[2018] IECA 97</w:t>
      </w:r>
      <w:r w:rsidR="007D3745">
        <w:rPr>
          <w:rFonts w:ascii="Times New Roman" w:hAnsi="Times New Roman" w:cs="Times New Roman"/>
          <w:color w:val="7030A0"/>
        </w:rPr>
        <w:t xml:space="preserve">; </w:t>
      </w:r>
      <w:r w:rsidR="007D3745" w:rsidRPr="003B4355">
        <w:rPr>
          <w:rFonts w:ascii="Times New Roman" w:eastAsia="Times New Roman" w:hAnsi="Times New Roman" w:cs="Times New Roman"/>
          <w:i/>
          <w:iCs/>
          <w:color w:val="7030A0"/>
          <w:sz w:val="24"/>
          <w:szCs w:val="24"/>
          <w:lang w:eastAsia="en-GB"/>
        </w:rPr>
        <w:t>PM v VH</w:t>
      </w:r>
      <w:r w:rsidR="007D3745">
        <w:rPr>
          <w:rFonts w:ascii="Times New Roman" w:eastAsia="Times New Roman" w:hAnsi="Times New Roman" w:cs="Times New Roman"/>
          <w:color w:val="7030A0"/>
          <w:sz w:val="24"/>
          <w:szCs w:val="24"/>
          <w:lang w:eastAsia="en-GB"/>
        </w:rPr>
        <w:t xml:space="preserve"> [2018] IECA 4 [114].</w:t>
      </w:r>
    </w:p>
    <w:p w14:paraId="573A596E" w14:textId="11587F6C" w:rsidR="00CD5066" w:rsidRDefault="00CD5066" w:rsidP="008A76E4">
      <w:pPr>
        <w:pStyle w:val="Heading2"/>
        <w:jc w:val="both"/>
      </w:pPr>
      <w:r w:rsidRPr="003F1C58">
        <w:t>Jurisdiction</w:t>
      </w:r>
    </w:p>
    <w:p w14:paraId="0B1D1D8A" w14:textId="77777777" w:rsidR="000508F4" w:rsidRPr="000508F4" w:rsidRDefault="000508F4" w:rsidP="008A76E4">
      <w:pPr>
        <w:spacing w:after="0"/>
        <w:jc w:val="both"/>
      </w:pPr>
    </w:p>
    <w:p w14:paraId="4A4F21BB" w14:textId="12CE5FB7" w:rsidR="00CD5066" w:rsidRDefault="00DE2018" w:rsidP="008A76E4">
      <w:pPr>
        <w:pStyle w:val="ListParagraph"/>
        <w:numPr>
          <w:ilvl w:val="0"/>
          <w:numId w:val="8"/>
        </w:numPr>
        <w:spacing w:after="0" w:line="240" w:lineRule="auto"/>
        <w:jc w:val="both"/>
        <w:rPr>
          <w:rFonts w:ascii="Times New Roman" w:eastAsia="Times New Roman" w:hAnsi="Times New Roman" w:cs="Times New Roman"/>
          <w:color w:val="0E101A"/>
          <w:sz w:val="24"/>
          <w:szCs w:val="24"/>
          <w:lang w:eastAsia="en-GB"/>
        </w:rPr>
      </w:pPr>
      <w:r>
        <w:rPr>
          <w:rFonts w:ascii="Times New Roman" w:hAnsi="Times New Roman" w:cs="Times New Roman"/>
        </w:rPr>
        <w:t>D</w:t>
      </w:r>
      <w:r w:rsidR="007A0F36">
        <w:rPr>
          <w:rFonts w:ascii="Times New Roman" w:hAnsi="Times New Roman" w:cs="Times New Roman"/>
        </w:rPr>
        <w:t xml:space="preserve">o the courts of your </w:t>
      </w:r>
      <w:r>
        <w:rPr>
          <w:rFonts w:ascii="Times New Roman" w:hAnsi="Times New Roman" w:cs="Times New Roman"/>
        </w:rPr>
        <w:t xml:space="preserve">country examine their jurisdiction </w:t>
      </w:r>
      <w:r w:rsidRPr="003F06AA">
        <w:rPr>
          <w:rFonts w:ascii="Times New Roman" w:hAnsi="Times New Roman" w:cs="Times New Roman"/>
          <w:i/>
          <w:iCs/>
        </w:rPr>
        <w:t>ex officio</w:t>
      </w:r>
      <w:r w:rsidR="000E7F0A">
        <w:rPr>
          <w:rFonts w:ascii="Times New Roman" w:hAnsi="Times New Roman" w:cs="Times New Roman"/>
          <w:i/>
          <w:iCs/>
        </w:rPr>
        <w:t xml:space="preserve"> </w:t>
      </w:r>
      <w:r w:rsidR="00A00B00">
        <w:rPr>
          <w:rFonts w:ascii="Times New Roman" w:hAnsi="Times New Roman" w:cs="Times New Roman"/>
        </w:rPr>
        <w:t>or only if raised by the parties</w:t>
      </w:r>
      <w:r>
        <w:rPr>
          <w:rFonts w:ascii="Times New Roman" w:hAnsi="Times New Roman" w:cs="Times New Roman"/>
        </w:rPr>
        <w:t>?</w:t>
      </w:r>
      <w:r w:rsidR="00F855CF" w:rsidRPr="00F855CF">
        <w:rPr>
          <w:rFonts w:ascii="Times New Roman" w:eastAsia="Times New Roman" w:hAnsi="Times New Roman" w:cs="Times New Roman"/>
          <w:color w:val="0E101A"/>
          <w:sz w:val="24"/>
          <w:szCs w:val="24"/>
          <w:lang w:eastAsia="en-GB"/>
        </w:rPr>
        <w:t> </w:t>
      </w:r>
    </w:p>
    <w:p w14:paraId="123A9A91" w14:textId="27754114" w:rsidR="001E72F3" w:rsidRDefault="001E72F3" w:rsidP="001E72F3">
      <w:pPr>
        <w:spacing w:after="0" w:line="240" w:lineRule="auto"/>
        <w:jc w:val="both"/>
        <w:rPr>
          <w:rFonts w:ascii="Times New Roman" w:eastAsia="Times New Roman" w:hAnsi="Times New Roman" w:cs="Times New Roman"/>
          <w:color w:val="0E101A"/>
          <w:sz w:val="24"/>
          <w:szCs w:val="24"/>
          <w:lang w:eastAsia="en-GB"/>
        </w:rPr>
      </w:pPr>
    </w:p>
    <w:p w14:paraId="584E567C" w14:textId="07A1561D" w:rsidR="001E72F3" w:rsidRPr="001E72F3" w:rsidRDefault="001E72F3" w:rsidP="001E72F3">
      <w:pPr>
        <w:spacing w:after="0" w:line="240" w:lineRule="auto"/>
        <w:jc w:val="both"/>
        <w:rPr>
          <w:rFonts w:ascii="Times New Roman" w:eastAsia="Times New Roman" w:hAnsi="Times New Roman" w:cs="Times New Roman"/>
          <w:color w:val="7030A0"/>
          <w:sz w:val="24"/>
          <w:szCs w:val="24"/>
          <w:lang w:eastAsia="en-GB"/>
        </w:rPr>
      </w:pPr>
      <w:r w:rsidRPr="001E72F3">
        <w:rPr>
          <w:rFonts w:ascii="Times New Roman" w:eastAsia="Times New Roman" w:hAnsi="Times New Roman" w:cs="Times New Roman"/>
          <w:color w:val="7030A0"/>
          <w:sz w:val="24"/>
          <w:szCs w:val="24"/>
          <w:lang w:eastAsia="en-GB"/>
        </w:rPr>
        <w:t xml:space="preserve">There is no case-law </w:t>
      </w:r>
      <w:r w:rsidR="005F4F5C">
        <w:rPr>
          <w:rFonts w:ascii="Times New Roman" w:eastAsia="Times New Roman" w:hAnsi="Times New Roman" w:cs="Times New Roman"/>
          <w:color w:val="7030A0"/>
          <w:sz w:val="24"/>
          <w:szCs w:val="24"/>
          <w:lang w:eastAsia="en-GB"/>
        </w:rPr>
        <w:t>directly on point</w:t>
      </w:r>
      <w:r w:rsidRPr="001E72F3">
        <w:rPr>
          <w:rFonts w:ascii="Times New Roman" w:eastAsia="Times New Roman" w:hAnsi="Times New Roman" w:cs="Times New Roman"/>
          <w:color w:val="7030A0"/>
          <w:sz w:val="24"/>
          <w:szCs w:val="24"/>
          <w:lang w:eastAsia="en-GB"/>
        </w:rPr>
        <w:t xml:space="preserve"> in the context of </w:t>
      </w:r>
      <w:r w:rsidR="005F4F5C">
        <w:rPr>
          <w:rFonts w:ascii="Times New Roman" w:eastAsia="Times New Roman" w:hAnsi="Times New Roman" w:cs="Times New Roman"/>
          <w:color w:val="7030A0"/>
          <w:sz w:val="24"/>
          <w:szCs w:val="24"/>
          <w:lang w:eastAsia="en-GB"/>
        </w:rPr>
        <w:t xml:space="preserve">POCC; however, it was suggested by the Irish Court of Appeal in </w:t>
      </w:r>
      <w:r w:rsidR="005F4F5C" w:rsidRPr="005F4F5C">
        <w:rPr>
          <w:rFonts w:ascii="Times New Roman" w:eastAsia="Times New Roman" w:hAnsi="Times New Roman" w:cs="Times New Roman"/>
          <w:i/>
          <w:iCs/>
          <w:color w:val="7030A0"/>
          <w:sz w:val="24"/>
          <w:szCs w:val="24"/>
          <w:lang w:eastAsia="en-GB"/>
        </w:rPr>
        <w:t>AMQ v KJ</w:t>
      </w:r>
      <w:r w:rsidR="005F4F5C">
        <w:rPr>
          <w:rFonts w:ascii="Times New Roman" w:eastAsia="Times New Roman" w:hAnsi="Times New Roman" w:cs="Times New Roman"/>
          <w:color w:val="7030A0"/>
          <w:sz w:val="24"/>
          <w:szCs w:val="24"/>
          <w:lang w:eastAsia="en-GB"/>
        </w:rPr>
        <w:t xml:space="preserve"> [2018] IECA 97 [50]-[51] </w:t>
      </w:r>
      <w:r w:rsidR="003B4355">
        <w:rPr>
          <w:rFonts w:ascii="Times New Roman" w:eastAsia="Times New Roman" w:hAnsi="Times New Roman" w:cs="Times New Roman"/>
          <w:color w:val="7030A0"/>
          <w:sz w:val="24"/>
          <w:szCs w:val="24"/>
          <w:lang w:eastAsia="en-GB"/>
        </w:rPr>
        <w:t xml:space="preserve">and in </w:t>
      </w:r>
      <w:r w:rsidR="003B4355" w:rsidRPr="003B4355">
        <w:rPr>
          <w:rFonts w:ascii="Times New Roman" w:eastAsia="Times New Roman" w:hAnsi="Times New Roman" w:cs="Times New Roman"/>
          <w:i/>
          <w:iCs/>
          <w:color w:val="7030A0"/>
          <w:sz w:val="24"/>
          <w:szCs w:val="24"/>
          <w:lang w:eastAsia="en-GB"/>
        </w:rPr>
        <w:t>PM v VH</w:t>
      </w:r>
      <w:r w:rsidR="003B4355">
        <w:rPr>
          <w:rFonts w:ascii="Times New Roman" w:eastAsia="Times New Roman" w:hAnsi="Times New Roman" w:cs="Times New Roman"/>
          <w:color w:val="7030A0"/>
          <w:sz w:val="24"/>
          <w:szCs w:val="24"/>
          <w:lang w:eastAsia="en-GB"/>
        </w:rPr>
        <w:t xml:space="preserve"> [2018] IECA 4 [57] </w:t>
      </w:r>
      <w:r w:rsidR="005F4F5C">
        <w:rPr>
          <w:rFonts w:ascii="Times New Roman" w:eastAsia="Times New Roman" w:hAnsi="Times New Roman" w:cs="Times New Roman"/>
          <w:color w:val="7030A0"/>
          <w:sz w:val="24"/>
          <w:szCs w:val="24"/>
          <w:lang w:eastAsia="en-GB"/>
        </w:rPr>
        <w:t xml:space="preserve">that in transnational proceedings concerning children, jurisdiction should be considered of the court’s own motion from the outset. </w:t>
      </w:r>
    </w:p>
    <w:p w14:paraId="75B3A936" w14:textId="77777777" w:rsidR="001E72F3" w:rsidRPr="001E72F3" w:rsidRDefault="001E72F3" w:rsidP="001E72F3">
      <w:pPr>
        <w:spacing w:after="0" w:line="240" w:lineRule="auto"/>
        <w:jc w:val="both"/>
        <w:rPr>
          <w:rFonts w:ascii="Times New Roman" w:eastAsia="Times New Roman" w:hAnsi="Times New Roman" w:cs="Times New Roman"/>
          <w:color w:val="0E101A"/>
          <w:sz w:val="24"/>
          <w:szCs w:val="24"/>
          <w:lang w:eastAsia="en-GB"/>
        </w:rPr>
      </w:pPr>
    </w:p>
    <w:p w14:paraId="0499FA8B" w14:textId="77777777" w:rsidR="002A1AD6" w:rsidRDefault="008C268B" w:rsidP="008A76E4">
      <w:pPr>
        <w:pStyle w:val="ListParagraph"/>
        <w:numPr>
          <w:ilvl w:val="0"/>
          <w:numId w:val="8"/>
        </w:numPr>
        <w:jc w:val="both"/>
        <w:rPr>
          <w:rFonts w:ascii="Times New Roman" w:hAnsi="Times New Roman" w:cs="Times New Roman"/>
        </w:rPr>
      </w:pPr>
      <w:r>
        <w:rPr>
          <w:rFonts w:ascii="Times New Roman" w:hAnsi="Times New Roman" w:cs="Times New Roman"/>
        </w:rPr>
        <w:t>D</w:t>
      </w:r>
      <w:r w:rsidR="00947DAC" w:rsidRPr="003F1C58">
        <w:rPr>
          <w:rFonts w:ascii="Times New Roman" w:hAnsi="Times New Roman" w:cs="Times New Roman"/>
        </w:rPr>
        <w:t xml:space="preserve">o you consider the approach taken by the courts of your </w:t>
      </w:r>
      <w:r w:rsidR="00143971">
        <w:rPr>
          <w:rFonts w:ascii="Times New Roman" w:hAnsi="Times New Roman" w:cs="Times New Roman"/>
        </w:rPr>
        <w:t>country</w:t>
      </w:r>
      <w:r w:rsidR="003839DB" w:rsidRPr="003F1C58">
        <w:rPr>
          <w:rFonts w:ascii="Times New Roman" w:hAnsi="Times New Roman" w:cs="Times New Roman"/>
        </w:rPr>
        <w:t xml:space="preserve"> to be</w:t>
      </w:r>
      <w:r w:rsidR="00947DAC" w:rsidRPr="003F1C58">
        <w:rPr>
          <w:rFonts w:ascii="Times New Roman" w:hAnsi="Times New Roman" w:cs="Times New Roman"/>
        </w:rPr>
        <w:t xml:space="preserve"> different from the approach taken in other </w:t>
      </w:r>
      <w:r w:rsidR="00143971">
        <w:rPr>
          <w:rFonts w:ascii="Times New Roman" w:hAnsi="Times New Roman" w:cs="Times New Roman"/>
        </w:rPr>
        <w:t>countries</w:t>
      </w:r>
      <w:r w:rsidR="003839DB" w:rsidRPr="003F1C58">
        <w:rPr>
          <w:rFonts w:ascii="Times New Roman" w:hAnsi="Times New Roman" w:cs="Times New Roman"/>
        </w:rPr>
        <w:t xml:space="preserve">, especially non-EU </w:t>
      </w:r>
      <w:r w:rsidR="00143971">
        <w:rPr>
          <w:rFonts w:ascii="Times New Roman" w:hAnsi="Times New Roman" w:cs="Times New Roman"/>
        </w:rPr>
        <w:t>countries</w:t>
      </w:r>
      <w:r w:rsidR="00947DAC" w:rsidRPr="003F1C58">
        <w:rPr>
          <w:rFonts w:ascii="Times New Roman" w:hAnsi="Times New Roman" w:cs="Times New Roman"/>
        </w:rPr>
        <w:t xml:space="preserve">? Please mention any notable examples of case law that demonstrate </w:t>
      </w:r>
      <w:r w:rsidR="00A51F9B" w:rsidRPr="003F1C58">
        <w:rPr>
          <w:rFonts w:ascii="Times New Roman" w:hAnsi="Times New Roman" w:cs="Times New Roman"/>
        </w:rPr>
        <w:t>the difference.</w:t>
      </w:r>
      <w:r w:rsidR="002A1AD6">
        <w:rPr>
          <w:rFonts w:ascii="Times New Roman" w:hAnsi="Times New Roman" w:cs="Times New Roman"/>
        </w:rPr>
        <w:t xml:space="preserve"> </w:t>
      </w:r>
    </w:p>
    <w:p w14:paraId="21592A35" w14:textId="222D4F1C" w:rsidR="00947DAC" w:rsidRPr="002A1AD6" w:rsidRDefault="002A1AD6" w:rsidP="002A1AD6">
      <w:pPr>
        <w:ind w:left="360"/>
        <w:jc w:val="both"/>
        <w:rPr>
          <w:rFonts w:ascii="Times New Roman" w:hAnsi="Times New Roman" w:cs="Times New Roman"/>
        </w:rPr>
      </w:pPr>
      <w:bookmarkStart w:id="0" w:name="_Hlk134542415"/>
      <w:r w:rsidRPr="002A1AD6">
        <w:rPr>
          <w:rFonts w:ascii="Times New Roman" w:hAnsi="Times New Roman" w:cs="Times New Roman"/>
          <w:color w:val="7030A0"/>
        </w:rPr>
        <w:t>N/A – see above</w:t>
      </w:r>
      <w:r w:rsidRPr="002A1AD6">
        <w:rPr>
          <w:rFonts w:ascii="Times New Roman" w:hAnsi="Times New Roman" w:cs="Times New Roman"/>
        </w:rPr>
        <w:t>.</w:t>
      </w:r>
    </w:p>
    <w:bookmarkEnd w:id="0"/>
    <w:p w14:paraId="48BCC3D5" w14:textId="02E14DDB" w:rsidR="00CD5066" w:rsidRDefault="00DE2018" w:rsidP="008A76E4">
      <w:pPr>
        <w:pStyle w:val="ListParagraph"/>
        <w:numPr>
          <w:ilvl w:val="0"/>
          <w:numId w:val="8"/>
        </w:numPr>
        <w:jc w:val="both"/>
        <w:rPr>
          <w:rFonts w:ascii="Times New Roman" w:hAnsi="Times New Roman" w:cs="Times New Roman"/>
        </w:rPr>
      </w:pPr>
      <w:r>
        <w:rPr>
          <w:rFonts w:ascii="Times New Roman" w:hAnsi="Times New Roman" w:cs="Times New Roman"/>
        </w:rPr>
        <w:t>Is</w:t>
      </w:r>
      <w:r w:rsidR="00A51F9B" w:rsidRPr="003F1C58">
        <w:rPr>
          <w:rFonts w:ascii="Times New Roman" w:hAnsi="Times New Roman" w:cs="Times New Roman"/>
        </w:rPr>
        <w:t xml:space="preserve"> the process of determining jurisdiction </w:t>
      </w:r>
      <w:r>
        <w:rPr>
          <w:rFonts w:ascii="Times New Roman" w:hAnsi="Times New Roman" w:cs="Times New Roman"/>
        </w:rPr>
        <w:t>by the courts of your country</w:t>
      </w:r>
      <w:r w:rsidR="00A51F9B" w:rsidRPr="003F1C58">
        <w:rPr>
          <w:rFonts w:ascii="Times New Roman" w:hAnsi="Times New Roman" w:cs="Times New Roman"/>
        </w:rPr>
        <w:t xml:space="preserve"> different intra-EU </w:t>
      </w:r>
      <w:r>
        <w:rPr>
          <w:rFonts w:ascii="Times New Roman" w:hAnsi="Times New Roman" w:cs="Times New Roman"/>
        </w:rPr>
        <w:t xml:space="preserve">cases </w:t>
      </w:r>
      <w:r w:rsidR="00A51F9B" w:rsidRPr="003F1C58">
        <w:rPr>
          <w:rFonts w:ascii="Times New Roman" w:hAnsi="Times New Roman" w:cs="Times New Roman"/>
        </w:rPr>
        <w:t xml:space="preserve">and </w:t>
      </w:r>
      <w:r>
        <w:rPr>
          <w:rFonts w:ascii="Times New Roman" w:hAnsi="Times New Roman" w:cs="Times New Roman"/>
        </w:rPr>
        <w:t>cases involving third countries</w:t>
      </w:r>
      <w:r w:rsidR="00A51F9B" w:rsidRPr="003F1C58">
        <w:rPr>
          <w:rFonts w:ascii="Times New Roman" w:hAnsi="Times New Roman" w:cs="Times New Roman"/>
        </w:rPr>
        <w:t xml:space="preserve">? Please mention any notable examples that demonstrate </w:t>
      </w:r>
      <w:r w:rsidR="004C440E">
        <w:rPr>
          <w:rFonts w:ascii="Times New Roman" w:hAnsi="Times New Roman" w:cs="Times New Roman"/>
        </w:rPr>
        <w:t xml:space="preserve">such </w:t>
      </w:r>
      <w:r w:rsidR="00A51F9B" w:rsidRPr="003F1C58">
        <w:rPr>
          <w:rFonts w:ascii="Times New Roman" w:hAnsi="Times New Roman" w:cs="Times New Roman"/>
        </w:rPr>
        <w:t xml:space="preserve">differences. </w:t>
      </w:r>
    </w:p>
    <w:p w14:paraId="62CB93AE" w14:textId="6FF1748F" w:rsidR="002A1AD6" w:rsidRPr="002A1AD6" w:rsidRDefault="002A1AD6" w:rsidP="002A1AD6">
      <w:pPr>
        <w:jc w:val="both"/>
        <w:rPr>
          <w:rFonts w:ascii="Times New Roman" w:hAnsi="Times New Roman" w:cs="Times New Roman"/>
        </w:rPr>
      </w:pPr>
      <w:r w:rsidRPr="002A1AD6">
        <w:rPr>
          <w:rFonts w:ascii="Times New Roman" w:hAnsi="Times New Roman" w:cs="Times New Roman"/>
          <w:color w:val="7030A0"/>
        </w:rPr>
        <w:t>N/A – see above</w:t>
      </w:r>
      <w:r w:rsidRPr="002A1AD6">
        <w:rPr>
          <w:rFonts w:ascii="Times New Roman" w:hAnsi="Times New Roman" w:cs="Times New Roman"/>
        </w:rPr>
        <w:t>.</w:t>
      </w:r>
    </w:p>
    <w:p w14:paraId="6D81C809" w14:textId="70F6D72F" w:rsidR="008A76E4" w:rsidRDefault="008A76E4" w:rsidP="008A76E4">
      <w:pPr>
        <w:pStyle w:val="Heading2"/>
        <w:jc w:val="both"/>
      </w:pPr>
      <w:r>
        <w:t>Applicable law</w:t>
      </w:r>
    </w:p>
    <w:p w14:paraId="48AA2959" w14:textId="77777777" w:rsidR="008A76E4" w:rsidRPr="008A76E4" w:rsidRDefault="008A76E4" w:rsidP="008A76E4">
      <w:pPr>
        <w:jc w:val="both"/>
      </w:pPr>
    </w:p>
    <w:p w14:paraId="049646B7" w14:textId="4E46FFFD" w:rsidR="00A51F9B" w:rsidRDefault="000E7F0A" w:rsidP="008A76E4">
      <w:pPr>
        <w:pStyle w:val="ListParagraph"/>
        <w:numPr>
          <w:ilvl w:val="0"/>
          <w:numId w:val="8"/>
        </w:numPr>
        <w:jc w:val="both"/>
        <w:rPr>
          <w:rFonts w:ascii="Times New Roman" w:hAnsi="Times New Roman" w:cs="Times New Roman"/>
        </w:rPr>
      </w:pPr>
      <w:r>
        <w:rPr>
          <w:rFonts w:ascii="Times New Roman" w:hAnsi="Times New Roman" w:cs="Times New Roman"/>
        </w:rPr>
        <w:t xml:space="preserve">Do the courts of your country apply applicable law rules </w:t>
      </w:r>
      <w:r w:rsidRPr="003F06AA">
        <w:rPr>
          <w:rFonts w:ascii="Times New Roman" w:hAnsi="Times New Roman" w:cs="Times New Roman"/>
          <w:i/>
          <w:iCs/>
        </w:rPr>
        <w:t>ex officio</w:t>
      </w:r>
      <w:r>
        <w:rPr>
          <w:rFonts w:ascii="Times New Roman" w:hAnsi="Times New Roman" w:cs="Times New Roman"/>
        </w:rPr>
        <w:t xml:space="preserve"> or only if raised by the parties?</w:t>
      </w:r>
      <w:r w:rsidR="007F48D6" w:rsidRPr="007F48D6">
        <w:rPr>
          <w:rFonts w:ascii="Times New Roman" w:hAnsi="Times New Roman" w:cs="Times New Roman"/>
        </w:rPr>
        <w:t xml:space="preserve"> </w:t>
      </w:r>
    </w:p>
    <w:p w14:paraId="429A1C86" w14:textId="17ADC3AE" w:rsidR="002A1AD6" w:rsidRPr="002A1AD6" w:rsidRDefault="002A1AD6" w:rsidP="002A1AD6">
      <w:pPr>
        <w:jc w:val="both"/>
        <w:rPr>
          <w:rFonts w:ascii="Times New Roman" w:hAnsi="Times New Roman" w:cs="Times New Roman"/>
        </w:rPr>
      </w:pPr>
      <w:r w:rsidRPr="002A1AD6">
        <w:rPr>
          <w:rFonts w:ascii="Times New Roman" w:hAnsi="Times New Roman" w:cs="Times New Roman"/>
          <w:color w:val="7030A0"/>
        </w:rPr>
        <w:t>N/A – see above</w:t>
      </w:r>
      <w:r w:rsidRPr="002A1AD6">
        <w:rPr>
          <w:rFonts w:ascii="Times New Roman" w:hAnsi="Times New Roman" w:cs="Times New Roman"/>
        </w:rPr>
        <w:t>.</w:t>
      </w:r>
    </w:p>
    <w:p w14:paraId="2FB3FBFF" w14:textId="692EACCC" w:rsidR="003839DB" w:rsidRDefault="003839DB" w:rsidP="008A76E4">
      <w:pPr>
        <w:pStyle w:val="ListParagraph"/>
        <w:numPr>
          <w:ilvl w:val="0"/>
          <w:numId w:val="8"/>
        </w:numPr>
        <w:jc w:val="both"/>
        <w:rPr>
          <w:rFonts w:ascii="Times New Roman" w:hAnsi="Times New Roman" w:cs="Times New Roman"/>
        </w:rPr>
      </w:pPr>
      <w:r w:rsidRPr="003F1C58">
        <w:rPr>
          <w:rFonts w:ascii="Times New Roman" w:hAnsi="Times New Roman" w:cs="Times New Roman"/>
        </w:rPr>
        <w:t>How do you consider the approach taken by the courts of your jurisdiction to be different from the approach taken in other jurisdictions, especially non-EU jurisdictions? Please mention any notable examples of case law that demonstrate the difference.</w:t>
      </w:r>
    </w:p>
    <w:p w14:paraId="18E65362" w14:textId="3834DA98" w:rsidR="002A1AD6" w:rsidRPr="002A1AD6" w:rsidRDefault="002A1AD6" w:rsidP="002A1AD6">
      <w:pPr>
        <w:jc w:val="both"/>
        <w:rPr>
          <w:rFonts w:ascii="Times New Roman" w:hAnsi="Times New Roman" w:cs="Times New Roman"/>
        </w:rPr>
      </w:pPr>
      <w:r w:rsidRPr="002A1AD6">
        <w:rPr>
          <w:rFonts w:ascii="Times New Roman" w:hAnsi="Times New Roman" w:cs="Times New Roman"/>
          <w:color w:val="7030A0"/>
        </w:rPr>
        <w:t>N/A – see above</w:t>
      </w:r>
      <w:r w:rsidRPr="002A1AD6">
        <w:rPr>
          <w:rFonts w:ascii="Times New Roman" w:hAnsi="Times New Roman" w:cs="Times New Roman"/>
        </w:rPr>
        <w:t>.</w:t>
      </w:r>
    </w:p>
    <w:p w14:paraId="2A494164" w14:textId="14D75A04" w:rsidR="003839DB" w:rsidRDefault="003839DB" w:rsidP="008A76E4">
      <w:pPr>
        <w:pStyle w:val="ListParagraph"/>
        <w:numPr>
          <w:ilvl w:val="0"/>
          <w:numId w:val="8"/>
        </w:numPr>
        <w:jc w:val="both"/>
        <w:rPr>
          <w:rFonts w:ascii="Times New Roman" w:hAnsi="Times New Roman" w:cs="Times New Roman"/>
        </w:rPr>
      </w:pPr>
      <w:r w:rsidRPr="003F1C58">
        <w:rPr>
          <w:rFonts w:ascii="Times New Roman" w:hAnsi="Times New Roman" w:cs="Times New Roman"/>
        </w:rPr>
        <w:t xml:space="preserve">Do you consider the process of determining applicable law </w:t>
      </w:r>
      <w:r w:rsidR="008A76E4">
        <w:rPr>
          <w:rFonts w:ascii="Times New Roman" w:hAnsi="Times New Roman" w:cs="Times New Roman"/>
        </w:rPr>
        <w:t xml:space="preserve">by the courts of your jurisdiction </w:t>
      </w:r>
      <w:r w:rsidRPr="003F1C58">
        <w:rPr>
          <w:rFonts w:ascii="Times New Roman" w:hAnsi="Times New Roman" w:cs="Times New Roman"/>
        </w:rPr>
        <w:t>to be different</w:t>
      </w:r>
      <w:r w:rsidR="00A00B00">
        <w:rPr>
          <w:rFonts w:ascii="Times New Roman" w:hAnsi="Times New Roman" w:cs="Times New Roman"/>
        </w:rPr>
        <w:t xml:space="preserve"> in</w:t>
      </w:r>
      <w:r w:rsidRPr="003F1C58">
        <w:rPr>
          <w:rFonts w:ascii="Times New Roman" w:hAnsi="Times New Roman" w:cs="Times New Roman"/>
        </w:rPr>
        <w:t xml:space="preserve"> intra-EU </w:t>
      </w:r>
      <w:r w:rsidR="00A00B00">
        <w:rPr>
          <w:rFonts w:ascii="Times New Roman" w:hAnsi="Times New Roman" w:cs="Times New Roman"/>
        </w:rPr>
        <w:t xml:space="preserve">cases </w:t>
      </w:r>
      <w:r w:rsidRPr="003F1C58">
        <w:rPr>
          <w:rFonts w:ascii="Times New Roman" w:hAnsi="Times New Roman" w:cs="Times New Roman"/>
        </w:rPr>
        <w:t xml:space="preserve">and </w:t>
      </w:r>
      <w:r w:rsidR="00A00B00">
        <w:rPr>
          <w:rFonts w:ascii="Times New Roman" w:hAnsi="Times New Roman" w:cs="Times New Roman"/>
        </w:rPr>
        <w:t>cases involving third states</w:t>
      </w:r>
      <w:r w:rsidRPr="003F1C58">
        <w:rPr>
          <w:rFonts w:ascii="Times New Roman" w:hAnsi="Times New Roman" w:cs="Times New Roman"/>
        </w:rPr>
        <w:t xml:space="preserve">? </w:t>
      </w:r>
      <w:r w:rsidR="00EB41D9">
        <w:rPr>
          <w:rFonts w:ascii="Times New Roman" w:hAnsi="Times New Roman" w:cs="Times New Roman"/>
        </w:rPr>
        <w:t xml:space="preserve">If so, what are the differences? </w:t>
      </w:r>
      <w:r w:rsidRPr="003F1C58">
        <w:rPr>
          <w:rFonts w:ascii="Times New Roman" w:hAnsi="Times New Roman" w:cs="Times New Roman"/>
        </w:rPr>
        <w:t xml:space="preserve">Please mention any notable examples that demonstrate </w:t>
      </w:r>
      <w:r w:rsidR="008A76E4">
        <w:rPr>
          <w:rFonts w:ascii="Times New Roman" w:hAnsi="Times New Roman" w:cs="Times New Roman"/>
        </w:rPr>
        <w:t xml:space="preserve">such </w:t>
      </w:r>
      <w:r w:rsidRPr="003F1C58">
        <w:rPr>
          <w:rFonts w:ascii="Times New Roman" w:hAnsi="Times New Roman" w:cs="Times New Roman"/>
        </w:rPr>
        <w:t xml:space="preserve">differences. </w:t>
      </w:r>
    </w:p>
    <w:p w14:paraId="01D7AC9F" w14:textId="77777777" w:rsidR="002A1AD6" w:rsidRPr="002A1AD6" w:rsidRDefault="002A1AD6" w:rsidP="002A1AD6">
      <w:pPr>
        <w:jc w:val="both"/>
        <w:rPr>
          <w:rFonts w:ascii="Times New Roman" w:hAnsi="Times New Roman" w:cs="Times New Roman"/>
        </w:rPr>
      </w:pPr>
      <w:r w:rsidRPr="002A1AD6">
        <w:rPr>
          <w:rFonts w:ascii="Times New Roman" w:hAnsi="Times New Roman" w:cs="Times New Roman"/>
          <w:color w:val="7030A0"/>
        </w:rPr>
        <w:t>N/A – see above</w:t>
      </w:r>
      <w:r w:rsidRPr="002A1AD6">
        <w:rPr>
          <w:rFonts w:ascii="Times New Roman" w:hAnsi="Times New Roman" w:cs="Times New Roman"/>
        </w:rPr>
        <w:t>.</w:t>
      </w:r>
    </w:p>
    <w:p w14:paraId="0A2D1C98" w14:textId="77777777" w:rsidR="002A1AD6" w:rsidRPr="002A1AD6" w:rsidRDefault="002A1AD6" w:rsidP="002A1AD6">
      <w:pPr>
        <w:jc w:val="both"/>
        <w:rPr>
          <w:rFonts w:ascii="Times New Roman" w:hAnsi="Times New Roman" w:cs="Times New Roman"/>
        </w:rPr>
      </w:pPr>
    </w:p>
    <w:p w14:paraId="4CC172E6" w14:textId="22D9C3DF" w:rsidR="00CD5066" w:rsidRDefault="00CD5066" w:rsidP="008A76E4">
      <w:pPr>
        <w:pStyle w:val="Heading2"/>
        <w:jc w:val="both"/>
      </w:pPr>
      <w:r w:rsidRPr="003F1C58">
        <w:t>Recognition and Enforcement</w:t>
      </w:r>
    </w:p>
    <w:p w14:paraId="173C0C1E" w14:textId="77777777" w:rsidR="008A76E4" w:rsidRPr="008A76E4" w:rsidRDefault="008A76E4" w:rsidP="008A76E4">
      <w:pPr>
        <w:jc w:val="both"/>
      </w:pPr>
    </w:p>
    <w:p w14:paraId="1920CCA6" w14:textId="71350250" w:rsidR="00981E93" w:rsidRDefault="007E7FF1" w:rsidP="00981E93">
      <w:pPr>
        <w:pStyle w:val="ListParagraph"/>
        <w:numPr>
          <w:ilvl w:val="0"/>
          <w:numId w:val="8"/>
        </w:numPr>
        <w:jc w:val="both"/>
        <w:rPr>
          <w:rFonts w:ascii="Times New Roman" w:hAnsi="Times New Roman" w:cs="Times New Roman"/>
        </w:rPr>
      </w:pPr>
      <w:r w:rsidRPr="00981E93">
        <w:rPr>
          <w:rFonts w:ascii="Times New Roman" w:hAnsi="Times New Roman" w:cs="Times New Roman"/>
        </w:rPr>
        <w:t>H</w:t>
      </w:r>
      <w:r w:rsidR="004A302C" w:rsidRPr="00981E93">
        <w:rPr>
          <w:rFonts w:ascii="Times New Roman" w:hAnsi="Times New Roman" w:cs="Times New Roman"/>
        </w:rPr>
        <w:t xml:space="preserve">ow does the </w:t>
      </w:r>
      <w:r w:rsidR="00CD5066" w:rsidRPr="00981E93">
        <w:rPr>
          <w:rFonts w:ascii="Times New Roman" w:hAnsi="Times New Roman" w:cs="Times New Roman"/>
        </w:rPr>
        <w:t>ease of recognition and enforcement of foreign judgments compare</w:t>
      </w:r>
      <w:r w:rsidR="007D1728" w:rsidRPr="00981E93">
        <w:rPr>
          <w:rFonts w:ascii="Times New Roman" w:hAnsi="Times New Roman" w:cs="Times New Roman"/>
        </w:rPr>
        <w:t xml:space="preserve"> between</w:t>
      </w:r>
      <w:r w:rsidR="004A302C" w:rsidRPr="00981E93">
        <w:rPr>
          <w:rFonts w:ascii="Times New Roman" w:hAnsi="Times New Roman" w:cs="Times New Roman"/>
        </w:rPr>
        <w:t xml:space="preserve"> intra</w:t>
      </w:r>
      <w:r w:rsidR="00947DAC" w:rsidRPr="00981E93">
        <w:rPr>
          <w:rFonts w:ascii="Times New Roman" w:hAnsi="Times New Roman" w:cs="Times New Roman"/>
        </w:rPr>
        <w:t>-</w:t>
      </w:r>
      <w:r w:rsidR="004A302C" w:rsidRPr="00981E93">
        <w:rPr>
          <w:rFonts w:ascii="Times New Roman" w:hAnsi="Times New Roman" w:cs="Times New Roman"/>
        </w:rPr>
        <w:t>EU</w:t>
      </w:r>
      <w:r w:rsidR="00CD5066" w:rsidRPr="00981E93">
        <w:rPr>
          <w:rFonts w:ascii="Times New Roman" w:hAnsi="Times New Roman" w:cs="Times New Roman"/>
        </w:rPr>
        <w:t xml:space="preserve"> (Brussels </w:t>
      </w:r>
      <w:proofErr w:type="spellStart"/>
      <w:r w:rsidR="00CD5066" w:rsidRPr="00981E93">
        <w:rPr>
          <w:rFonts w:ascii="Times New Roman" w:hAnsi="Times New Roman" w:cs="Times New Roman"/>
        </w:rPr>
        <w:t>IIa</w:t>
      </w:r>
      <w:proofErr w:type="spellEnd"/>
      <w:r w:rsidR="00CD5066" w:rsidRPr="00981E93">
        <w:rPr>
          <w:rFonts w:ascii="Times New Roman" w:hAnsi="Times New Roman" w:cs="Times New Roman"/>
        </w:rPr>
        <w:t xml:space="preserve"> Regulation) and third states</w:t>
      </w:r>
      <w:r w:rsidRPr="00981E93">
        <w:rPr>
          <w:rFonts w:ascii="Times New Roman" w:hAnsi="Times New Roman" w:cs="Times New Roman"/>
        </w:rPr>
        <w:t>’ judgments</w:t>
      </w:r>
      <w:r w:rsidR="00CD5066" w:rsidRPr="00981E93">
        <w:rPr>
          <w:rFonts w:ascii="Times New Roman" w:hAnsi="Times New Roman" w:cs="Times New Roman"/>
        </w:rPr>
        <w:t xml:space="preserve"> (1996 Convention)?</w:t>
      </w:r>
      <w:r w:rsidR="00981E93" w:rsidRPr="00981E93">
        <w:rPr>
          <w:rFonts w:ascii="Times New Roman" w:hAnsi="Times New Roman" w:cs="Times New Roman"/>
        </w:rPr>
        <w:t xml:space="preserve"> </w:t>
      </w:r>
      <w:r w:rsidR="00981E93">
        <w:rPr>
          <w:rFonts w:ascii="Times New Roman" w:hAnsi="Times New Roman" w:cs="Times New Roman"/>
        </w:rPr>
        <w:t>A</w:t>
      </w:r>
      <w:r w:rsidR="00CD5066" w:rsidRPr="00981E93">
        <w:rPr>
          <w:rFonts w:ascii="Times New Roman" w:hAnsi="Times New Roman" w:cs="Times New Roman"/>
        </w:rPr>
        <w:t xml:space="preserve">re you aware of </w:t>
      </w:r>
      <w:r w:rsidR="00981E93">
        <w:rPr>
          <w:rFonts w:ascii="Times New Roman" w:hAnsi="Times New Roman" w:cs="Times New Roman"/>
        </w:rPr>
        <w:t xml:space="preserve">any examples of </w:t>
      </w:r>
      <w:r w:rsidR="00600C44">
        <w:rPr>
          <w:rFonts w:ascii="Times New Roman" w:hAnsi="Times New Roman" w:cs="Times New Roman"/>
        </w:rPr>
        <w:t xml:space="preserve">relevant </w:t>
      </w:r>
      <w:r w:rsidR="00981E93">
        <w:rPr>
          <w:rFonts w:ascii="Times New Roman" w:hAnsi="Times New Roman" w:cs="Times New Roman"/>
        </w:rPr>
        <w:t>cas</w:t>
      </w:r>
      <w:r w:rsidR="00E405E4">
        <w:rPr>
          <w:rFonts w:ascii="Times New Roman" w:hAnsi="Times New Roman" w:cs="Times New Roman"/>
        </w:rPr>
        <w:t>es decided by the courts of</w:t>
      </w:r>
      <w:r w:rsidR="00981E93">
        <w:rPr>
          <w:rFonts w:ascii="Times New Roman" w:hAnsi="Times New Roman" w:cs="Times New Roman"/>
        </w:rPr>
        <w:t xml:space="preserve"> your jurisdiction? </w:t>
      </w:r>
    </w:p>
    <w:p w14:paraId="64726A0F" w14:textId="2316B59A" w:rsidR="002A1AD6" w:rsidRPr="002A1AD6" w:rsidRDefault="002A1AD6" w:rsidP="002A1AD6">
      <w:pPr>
        <w:jc w:val="both"/>
        <w:rPr>
          <w:rFonts w:ascii="Times New Roman" w:hAnsi="Times New Roman" w:cs="Times New Roman"/>
        </w:rPr>
      </w:pPr>
      <w:r w:rsidRPr="002A1AD6">
        <w:rPr>
          <w:rFonts w:ascii="Times New Roman" w:hAnsi="Times New Roman" w:cs="Times New Roman"/>
          <w:color w:val="7030A0"/>
        </w:rPr>
        <w:t>N/A – see above</w:t>
      </w:r>
      <w:r w:rsidRPr="002A1AD6">
        <w:rPr>
          <w:rFonts w:ascii="Times New Roman" w:hAnsi="Times New Roman" w:cs="Times New Roman"/>
        </w:rPr>
        <w:t>.</w:t>
      </w:r>
    </w:p>
    <w:p w14:paraId="4B8BB9C3" w14:textId="1A57C18B" w:rsidR="00C7229C" w:rsidRDefault="00CD5066" w:rsidP="00981E93">
      <w:pPr>
        <w:pStyle w:val="Heading2"/>
      </w:pPr>
      <w:r w:rsidRPr="003F1C58">
        <w:t>International cooperation of authorities</w:t>
      </w:r>
    </w:p>
    <w:p w14:paraId="33A89EAE" w14:textId="77777777" w:rsidR="00981E93" w:rsidRPr="00981E93" w:rsidRDefault="00981E93" w:rsidP="00981E93"/>
    <w:p w14:paraId="73A9679E" w14:textId="77777777" w:rsidR="00CA560D" w:rsidRDefault="00B94B8D" w:rsidP="008A76E4">
      <w:pPr>
        <w:pStyle w:val="ListParagraph"/>
        <w:numPr>
          <w:ilvl w:val="0"/>
          <w:numId w:val="8"/>
        </w:numPr>
        <w:jc w:val="both"/>
        <w:rPr>
          <w:rFonts w:ascii="Times New Roman" w:hAnsi="Times New Roman" w:cs="Times New Roman"/>
        </w:rPr>
      </w:pPr>
      <w:r>
        <w:rPr>
          <w:rFonts w:ascii="Times New Roman" w:hAnsi="Times New Roman" w:cs="Times New Roman"/>
        </w:rPr>
        <w:t>P</w:t>
      </w:r>
      <w:r w:rsidR="003839DB" w:rsidRPr="003F1C58">
        <w:rPr>
          <w:rFonts w:ascii="Times New Roman" w:hAnsi="Times New Roman" w:cs="Times New Roman"/>
        </w:rPr>
        <w:t xml:space="preserve">lease comment on how </w:t>
      </w:r>
      <w:r w:rsidR="009D7F98" w:rsidRPr="003F1C58">
        <w:rPr>
          <w:rFonts w:ascii="Times New Roman" w:hAnsi="Times New Roman" w:cs="Times New Roman"/>
        </w:rPr>
        <w:t>international cooperation is approached in your jurisdiction, noting any case law</w:t>
      </w:r>
      <w:r w:rsidR="0039705F" w:rsidRPr="003F1C58">
        <w:rPr>
          <w:rFonts w:ascii="Times New Roman" w:hAnsi="Times New Roman" w:cs="Times New Roman"/>
        </w:rPr>
        <w:t xml:space="preserve"> or other secondary sources </w:t>
      </w:r>
      <w:r w:rsidR="007F48D6" w:rsidRPr="003F1C58">
        <w:rPr>
          <w:rFonts w:ascii="Times New Roman" w:hAnsi="Times New Roman" w:cs="Times New Roman"/>
        </w:rPr>
        <w:t>you</w:t>
      </w:r>
      <w:r w:rsidR="0039705F" w:rsidRPr="003F1C58">
        <w:rPr>
          <w:rFonts w:ascii="Times New Roman" w:hAnsi="Times New Roman" w:cs="Times New Roman"/>
        </w:rPr>
        <w:t xml:space="preserve"> consider important. </w:t>
      </w:r>
      <w:r w:rsidR="00AA359A">
        <w:rPr>
          <w:rFonts w:ascii="Times New Roman" w:hAnsi="Times New Roman" w:cs="Times New Roman"/>
        </w:rPr>
        <w:t>E.g. are separate or the same authorities responsible for these instruments?</w:t>
      </w:r>
    </w:p>
    <w:p w14:paraId="3A3ECF09" w14:textId="5519B291" w:rsidR="00C7229C" w:rsidRPr="00905232" w:rsidRDefault="00905232" w:rsidP="00CA560D">
      <w:pPr>
        <w:jc w:val="both"/>
        <w:rPr>
          <w:rFonts w:ascii="Times New Roman" w:hAnsi="Times New Roman" w:cs="Times New Roman"/>
          <w:color w:val="7030A0"/>
        </w:rPr>
      </w:pPr>
      <w:r w:rsidRPr="00905232">
        <w:rPr>
          <w:rFonts w:ascii="Times New Roman" w:hAnsi="Times New Roman" w:cs="Times New Roman"/>
          <w:color w:val="7030A0"/>
        </w:rPr>
        <w:t xml:space="preserve">The same authority (Minister for Justice) acts as Central Authority </w:t>
      </w:r>
      <w:r>
        <w:rPr>
          <w:rFonts w:ascii="Times New Roman" w:hAnsi="Times New Roman" w:cs="Times New Roman"/>
          <w:color w:val="7030A0"/>
        </w:rPr>
        <w:t xml:space="preserve">for Ireland </w:t>
      </w:r>
      <w:r w:rsidRPr="00905232">
        <w:rPr>
          <w:rFonts w:ascii="Times New Roman" w:hAnsi="Times New Roman" w:cs="Times New Roman"/>
          <w:color w:val="7030A0"/>
        </w:rPr>
        <w:t>under both POCC and Brussels II</w:t>
      </w:r>
      <w:r w:rsidRPr="001F6713">
        <w:rPr>
          <w:rFonts w:ascii="Times New Roman" w:hAnsi="Times New Roman" w:cs="Times New Roman"/>
          <w:i/>
          <w:iCs/>
          <w:color w:val="7030A0"/>
        </w:rPr>
        <w:t>ter</w:t>
      </w:r>
      <w:r w:rsidRPr="00905232">
        <w:rPr>
          <w:rFonts w:ascii="Times New Roman" w:hAnsi="Times New Roman" w:cs="Times New Roman"/>
          <w:color w:val="7030A0"/>
        </w:rPr>
        <w:t xml:space="preserve">: see section 9 Protection of Children (Hague Convention) Act 2000 and </w:t>
      </w:r>
      <w:r>
        <w:rPr>
          <w:rFonts w:ascii="Times New Roman" w:hAnsi="Times New Roman" w:cs="Times New Roman"/>
          <w:color w:val="7030A0"/>
        </w:rPr>
        <w:t>Reg 3 of European Union (Decisions in Matrimonial Matters and Matters of Parental Responsibility and International Child Abduction) Regulations 2022 (SI No 400 of 2022).</w:t>
      </w:r>
    </w:p>
    <w:p w14:paraId="1A6ACC94" w14:textId="1A032191" w:rsidR="00F408AF" w:rsidRPr="00517369" w:rsidRDefault="00F408AF" w:rsidP="008A76E4">
      <w:pPr>
        <w:pStyle w:val="Heading2"/>
        <w:numPr>
          <w:ilvl w:val="0"/>
          <w:numId w:val="6"/>
        </w:numPr>
        <w:jc w:val="both"/>
        <w:rPr>
          <w:rFonts w:ascii="Times New Roman" w:hAnsi="Times New Roman" w:cs="Times New Roman"/>
          <w:b/>
          <w:bCs/>
          <w:sz w:val="24"/>
          <w:szCs w:val="24"/>
        </w:rPr>
      </w:pPr>
      <w:r w:rsidRPr="00517369">
        <w:rPr>
          <w:rFonts w:ascii="Times New Roman" w:hAnsi="Times New Roman" w:cs="Times New Roman"/>
          <w:b/>
          <w:bCs/>
          <w:sz w:val="24"/>
          <w:szCs w:val="24"/>
        </w:rPr>
        <w:lastRenderedPageBreak/>
        <w:t>Convention of 1 June 1970 on the Recognition of Divorces and Legal Separations</w:t>
      </w:r>
    </w:p>
    <w:p w14:paraId="052B6B88" w14:textId="1BB27B42" w:rsidR="00917066" w:rsidRDefault="00917066" w:rsidP="008A76E4">
      <w:pPr>
        <w:jc w:val="both"/>
        <w:rPr>
          <w:rFonts w:ascii="Times New Roman" w:hAnsi="Times New Roman" w:cs="Times New Roman"/>
        </w:rPr>
      </w:pPr>
    </w:p>
    <w:p w14:paraId="292F5DD5" w14:textId="2152D279" w:rsidR="001B2AFE" w:rsidRPr="00A40301" w:rsidRDefault="001B2AFE" w:rsidP="008A76E4">
      <w:pPr>
        <w:jc w:val="both"/>
      </w:pPr>
      <w:r w:rsidRPr="001B2AFE">
        <w:rPr>
          <w:rFonts w:ascii="Times New Roman" w:hAnsi="Times New Roman" w:cs="Times New Roman"/>
          <w:color w:val="7030A0"/>
        </w:rPr>
        <w:t>Ireland is not party to this Convention. Because of the EU policy of exclusive external competence, it would be for the EU to determine whether Ireland could part</w:t>
      </w:r>
      <w:r w:rsidR="00A40301">
        <w:rPr>
          <w:rFonts w:ascii="Times New Roman" w:hAnsi="Times New Roman" w:cs="Times New Roman"/>
          <w:color w:val="7030A0"/>
        </w:rPr>
        <w:t>icipate. There were some very vague</w:t>
      </w:r>
      <w:r w:rsidRPr="001B2AFE">
        <w:rPr>
          <w:rFonts w:ascii="Times New Roman" w:hAnsi="Times New Roman" w:cs="Times New Roman"/>
          <w:color w:val="7030A0"/>
        </w:rPr>
        <w:t xml:space="preserve"> suggestions at EU level that this </w:t>
      </w:r>
      <w:r w:rsidRPr="00755903">
        <w:rPr>
          <w:rFonts w:ascii="Times New Roman" w:hAnsi="Times New Roman" w:cs="Times New Roman"/>
          <w:i/>
          <w:iCs/>
          <w:color w:val="7030A0"/>
        </w:rPr>
        <w:t>might</w:t>
      </w:r>
      <w:r w:rsidRPr="001B2AFE">
        <w:rPr>
          <w:rFonts w:ascii="Times New Roman" w:hAnsi="Times New Roman" w:cs="Times New Roman"/>
          <w:color w:val="7030A0"/>
        </w:rPr>
        <w:t xml:space="preserve"> be considered in the context of the UK’s departure from the EU</w:t>
      </w:r>
      <w:r w:rsidR="00A40301">
        <w:rPr>
          <w:rFonts w:ascii="Times New Roman" w:hAnsi="Times New Roman" w:cs="Times New Roman"/>
          <w:color w:val="7030A0"/>
        </w:rPr>
        <w:t xml:space="preserve"> (see the EU Commission ‘Notice to Stakeholders’ of 27 August 2020 referring (at p 8) to the fact that ‘</w:t>
      </w:r>
      <w:r w:rsidR="00A40301" w:rsidRPr="00A40301">
        <w:rPr>
          <w:rFonts w:ascii="Times New Roman" w:hAnsi="Times New Roman" w:cs="Times New Roman"/>
          <w:i/>
          <w:color w:val="7030A0"/>
        </w:rPr>
        <w:t>currently</w:t>
      </w:r>
      <w:r w:rsidR="00A40301">
        <w:rPr>
          <w:rFonts w:ascii="Times New Roman" w:hAnsi="Times New Roman" w:cs="Times New Roman"/>
          <w:color w:val="7030A0"/>
        </w:rPr>
        <w:t xml:space="preserve"> only 12 EU Member States are contracting parties’ to the 1970 Convention (emphasis added)).</w:t>
      </w:r>
      <w:r w:rsidR="00A40301">
        <w:t xml:space="preserve"> </w:t>
      </w:r>
      <w:r w:rsidR="00A40301">
        <w:rPr>
          <w:rFonts w:ascii="Times New Roman" w:hAnsi="Times New Roman" w:cs="Times New Roman"/>
          <w:color w:val="7030A0"/>
        </w:rPr>
        <w:t>However, at</w:t>
      </w:r>
      <w:r w:rsidRPr="001B2AFE">
        <w:rPr>
          <w:rFonts w:ascii="Times New Roman" w:hAnsi="Times New Roman" w:cs="Times New Roman"/>
          <w:color w:val="7030A0"/>
        </w:rPr>
        <w:t xml:space="preserve"> the domestic level in Ireland</w:t>
      </w:r>
      <w:r w:rsidR="00A40301">
        <w:rPr>
          <w:rFonts w:ascii="Times New Roman" w:hAnsi="Times New Roman" w:cs="Times New Roman"/>
          <w:color w:val="7030A0"/>
        </w:rPr>
        <w:t>,</w:t>
      </w:r>
      <w:r w:rsidRPr="001B2AFE">
        <w:rPr>
          <w:rFonts w:ascii="Times New Roman" w:hAnsi="Times New Roman" w:cs="Times New Roman"/>
          <w:color w:val="7030A0"/>
        </w:rPr>
        <w:t xml:space="preserve"> </w:t>
      </w:r>
      <w:r w:rsidR="00A40301">
        <w:rPr>
          <w:rFonts w:ascii="Times New Roman" w:hAnsi="Times New Roman" w:cs="Times New Roman"/>
          <w:color w:val="7030A0"/>
        </w:rPr>
        <w:t>adoption of the 1970 Hague Convention</w:t>
      </w:r>
      <w:r w:rsidRPr="001B2AFE">
        <w:rPr>
          <w:rFonts w:ascii="Times New Roman" w:hAnsi="Times New Roman" w:cs="Times New Roman"/>
          <w:color w:val="7030A0"/>
        </w:rPr>
        <w:t xml:space="preserve"> does not appear to be under active consideration.</w:t>
      </w:r>
      <w:r w:rsidR="00755903">
        <w:rPr>
          <w:rFonts w:ascii="Times New Roman" w:hAnsi="Times New Roman" w:cs="Times New Roman"/>
          <w:color w:val="7030A0"/>
        </w:rPr>
        <w:t xml:space="preserve"> The Irish Law Reform Commission has included foreign divorce recognition in its (next) Fifth Programme of Law Reform, but has given no indication that the 1970 Hague Convention will be considered in this context (see </w:t>
      </w:r>
      <w:hyperlink r:id="rId12" w:history="1">
        <w:r w:rsidR="00755903" w:rsidRPr="00D83881">
          <w:rPr>
            <w:rStyle w:val="Hyperlink"/>
            <w:rFonts w:ascii="Times New Roman" w:hAnsi="Times New Roman" w:cs="Times New Roman"/>
          </w:rPr>
          <w:t>https://www.lawreform.ie/_fileupload/Programmes%20of%20Law%20Reform/LRC%20120-2019%20-%20Fifth%20Programme%20of%20Law%20Reform.pdf</w:t>
        </w:r>
      </w:hyperlink>
      <w:r w:rsidR="00755903">
        <w:rPr>
          <w:rFonts w:ascii="Times New Roman" w:hAnsi="Times New Roman" w:cs="Times New Roman"/>
          <w:color w:val="7030A0"/>
        </w:rPr>
        <w:t>). Irish law is mostly very restrictive in its recognition of third-country divorces (generally requiring a spouse to be ‘domiciled’ in the common law sense in the country of origin at the date of institution of proceedings</w:t>
      </w:r>
      <w:r w:rsidR="00FD14A5">
        <w:rPr>
          <w:rFonts w:ascii="Times New Roman" w:hAnsi="Times New Roman" w:cs="Times New Roman"/>
          <w:color w:val="7030A0"/>
        </w:rPr>
        <w:t>: s 5 Domicile and Recognition of Foreign Divorces Act 1986</w:t>
      </w:r>
      <w:r w:rsidR="00755903">
        <w:rPr>
          <w:rFonts w:ascii="Times New Roman" w:hAnsi="Times New Roman" w:cs="Times New Roman"/>
          <w:color w:val="7030A0"/>
        </w:rPr>
        <w:t xml:space="preserve">); however, specific legislation was adopted to provide for continuity (or something close to continuity) for recognition of </w:t>
      </w:r>
      <w:r w:rsidR="00FD14A5">
        <w:rPr>
          <w:rFonts w:ascii="Times New Roman" w:hAnsi="Times New Roman" w:cs="Times New Roman"/>
          <w:color w:val="7030A0"/>
        </w:rPr>
        <w:t>UK divorces post-Brexit: see ss 124-126 Withdrawal of the United Kingdom from the European Union (Consequential Provisions) Act 2020).</w:t>
      </w:r>
      <w:r w:rsidR="00755903">
        <w:rPr>
          <w:rFonts w:ascii="Times New Roman" w:hAnsi="Times New Roman" w:cs="Times New Roman"/>
          <w:color w:val="7030A0"/>
        </w:rPr>
        <w:t xml:space="preserve"> </w:t>
      </w:r>
    </w:p>
    <w:p w14:paraId="4F808AF3" w14:textId="474D99DE" w:rsidR="00917066" w:rsidRDefault="00124677" w:rsidP="008A76E4">
      <w:pPr>
        <w:pStyle w:val="ListParagraph"/>
        <w:numPr>
          <w:ilvl w:val="0"/>
          <w:numId w:val="8"/>
        </w:numPr>
        <w:jc w:val="both"/>
        <w:rPr>
          <w:rFonts w:ascii="Times New Roman" w:hAnsi="Times New Roman" w:cs="Times New Roman"/>
        </w:rPr>
      </w:pPr>
      <w:r w:rsidRPr="003F1C58">
        <w:rPr>
          <w:rFonts w:ascii="Times New Roman" w:hAnsi="Times New Roman" w:cs="Times New Roman"/>
        </w:rPr>
        <w:t>If relevant, please comment on the use</w:t>
      </w:r>
      <w:r w:rsidR="00897209">
        <w:rPr>
          <w:rFonts w:ascii="Times New Roman" w:hAnsi="Times New Roman" w:cs="Times New Roman"/>
        </w:rPr>
        <w:t xml:space="preserve">, </w:t>
      </w:r>
      <w:r w:rsidRPr="003F1C58">
        <w:rPr>
          <w:rFonts w:ascii="Times New Roman" w:hAnsi="Times New Roman" w:cs="Times New Roman"/>
        </w:rPr>
        <w:t>operation, and notable case law concerning the 1970 Convention</w:t>
      </w:r>
      <w:r w:rsidR="00897209">
        <w:rPr>
          <w:rFonts w:ascii="Times New Roman" w:hAnsi="Times New Roman" w:cs="Times New Roman"/>
        </w:rPr>
        <w:t xml:space="preserve"> in your jurisdiction</w:t>
      </w:r>
      <w:r w:rsidRPr="003F1C58">
        <w:rPr>
          <w:rFonts w:ascii="Times New Roman" w:hAnsi="Times New Roman" w:cs="Times New Roman"/>
        </w:rPr>
        <w:t xml:space="preserve">. </w:t>
      </w:r>
      <w:r w:rsidR="00F00E77">
        <w:rPr>
          <w:rFonts w:ascii="Times New Roman" w:hAnsi="Times New Roman" w:cs="Times New Roman"/>
        </w:rPr>
        <w:t>Otherwise, please comment on what you consider to be the obstacles to your jurisdiction becoming a Contracting Party to the Convention</w:t>
      </w:r>
      <w:r w:rsidR="003F06AA">
        <w:rPr>
          <w:rFonts w:ascii="Times New Roman" w:hAnsi="Times New Roman" w:cs="Times New Roman"/>
        </w:rPr>
        <w:t>.</w:t>
      </w:r>
    </w:p>
    <w:p w14:paraId="01E0EE35" w14:textId="5D56BD3D" w:rsidR="002974C5" w:rsidRPr="002974C5" w:rsidRDefault="002974C5" w:rsidP="00E15EAB">
      <w:pPr>
        <w:jc w:val="both"/>
        <w:rPr>
          <w:rFonts w:ascii="Times New Roman" w:hAnsi="Times New Roman" w:cs="Times New Roman"/>
          <w:color w:val="7030A0"/>
        </w:rPr>
      </w:pPr>
      <w:r w:rsidRPr="002974C5">
        <w:rPr>
          <w:rFonts w:ascii="Times New Roman" w:hAnsi="Times New Roman" w:cs="Times New Roman"/>
          <w:color w:val="7030A0"/>
        </w:rPr>
        <w:t>See above: this would be a matter for the EU.</w:t>
      </w:r>
    </w:p>
    <w:p w14:paraId="0E370A35" w14:textId="2163903C" w:rsidR="00F408AF" w:rsidRPr="00517369" w:rsidRDefault="00F408AF" w:rsidP="008A76E4">
      <w:pPr>
        <w:pStyle w:val="Heading2"/>
        <w:numPr>
          <w:ilvl w:val="0"/>
          <w:numId w:val="6"/>
        </w:numPr>
        <w:jc w:val="both"/>
        <w:rPr>
          <w:rFonts w:ascii="Times New Roman" w:hAnsi="Times New Roman" w:cs="Times New Roman"/>
          <w:b/>
          <w:bCs/>
          <w:sz w:val="24"/>
          <w:szCs w:val="24"/>
        </w:rPr>
      </w:pPr>
      <w:r w:rsidRPr="00517369">
        <w:rPr>
          <w:rFonts w:ascii="Times New Roman" w:hAnsi="Times New Roman" w:cs="Times New Roman"/>
          <w:b/>
          <w:bCs/>
          <w:sz w:val="24"/>
          <w:szCs w:val="24"/>
        </w:rPr>
        <w:t>Convention of 23 November 2007 on the International Recovery of Child Support and Other Forms of Family Maintenance</w:t>
      </w:r>
    </w:p>
    <w:p w14:paraId="4C524D68" w14:textId="423EF467" w:rsidR="00917066" w:rsidRPr="003F1C58" w:rsidRDefault="00917066" w:rsidP="008A76E4">
      <w:pPr>
        <w:jc w:val="both"/>
        <w:rPr>
          <w:rFonts w:ascii="Times New Roman" w:hAnsi="Times New Roman" w:cs="Times New Roman"/>
        </w:rPr>
      </w:pPr>
    </w:p>
    <w:p w14:paraId="0432E0AC" w14:textId="3F6AFFC9" w:rsidR="0039705F" w:rsidRDefault="00C9265F" w:rsidP="008A76E4">
      <w:pPr>
        <w:pStyle w:val="ListParagraph"/>
        <w:numPr>
          <w:ilvl w:val="0"/>
          <w:numId w:val="8"/>
        </w:numPr>
        <w:jc w:val="both"/>
        <w:rPr>
          <w:rFonts w:ascii="Times New Roman" w:hAnsi="Times New Roman" w:cs="Times New Roman"/>
        </w:rPr>
      </w:pPr>
      <w:r>
        <w:rPr>
          <w:rFonts w:ascii="Times New Roman" w:hAnsi="Times New Roman" w:cs="Times New Roman"/>
        </w:rPr>
        <w:t xml:space="preserve">We </w:t>
      </w:r>
      <w:r w:rsidR="0039705F" w:rsidRPr="003F1C58">
        <w:rPr>
          <w:rFonts w:ascii="Times New Roman" w:hAnsi="Times New Roman" w:cs="Times New Roman"/>
        </w:rPr>
        <w:t>note that there is limited case</w:t>
      </w:r>
      <w:r>
        <w:rPr>
          <w:rFonts w:ascii="Times New Roman" w:hAnsi="Times New Roman" w:cs="Times New Roman"/>
        </w:rPr>
        <w:t xml:space="preserve"> </w:t>
      </w:r>
      <w:r w:rsidR="0039705F" w:rsidRPr="003F1C58">
        <w:rPr>
          <w:rFonts w:ascii="Times New Roman" w:hAnsi="Times New Roman" w:cs="Times New Roman"/>
        </w:rPr>
        <w:t>law in the UK interpreting the 2007 Maintenance Convention. Are you aware of any case law that links to the UK</w:t>
      </w:r>
      <w:r w:rsidR="00AE2163" w:rsidRPr="003F1C58">
        <w:rPr>
          <w:rFonts w:ascii="Times New Roman" w:hAnsi="Times New Roman" w:cs="Times New Roman"/>
        </w:rPr>
        <w:t xml:space="preserve"> or is otherwise significant for this jurisdiction?</w:t>
      </w:r>
      <w:r w:rsidR="00900386">
        <w:rPr>
          <w:rFonts w:ascii="Times New Roman" w:hAnsi="Times New Roman" w:cs="Times New Roman"/>
        </w:rPr>
        <w:t xml:space="preserve"> If so, please briefly outline such case law.</w:t>
      </w:r>
    </w:p>
    <w:p w14:paraId="2C53EB6F" w14:textId="752BC396" w:rsidR="00C919A9" w:rsidRPr="00C919A9" w:rsidRDefault="00C919A9" w:rsidP="00C919A9">
      <w:pPr>
        <w:jc w:val="both"/>
        <w:rPr>
          <w:rFonts w:ascii="Times New Roman" w:hAnsi="Times New Roman" w:cs="Times New Roman"/>
          <w:color w:val="7030A0"/>
        </w:rPr>
      </w:pPr>
      <w:r w:rsidRPr="00C919A9">
        <w:rPr>
          <w:rFonts w:ascii="Times New Roman" w:hAnsi="Times New Roman" w:cs="Times New Roman"/>
          <w:color w:val="7030A0"/>
        </w:rPr>
        <w:t>I could not find any Irish case-law on this Convention.</w:t>
      </w:r>
    </w:p>
    <w:p w14:paraId="0ECA9149" w14:textId="7546435C" w:rsidR="00C9265F" w:rsidRDefault="009923A4" w:rsidP="009923A4">
      <w:pPr>
        <w:pStyle w:val="Heading2"/>
      </w:pPr>
      <w:r>
        <w:t xml:space="preserve">Applicable law (especially where different from the </w:t>
      </w:r>
      <w:r w:rsidRPr="009923A4">
        <w:rPr>
          <w:i/>
          <w:iCs/>
        </w:rPr>
        <w:t xml:space="preserve">lex </w:t>
      </w:r>
      <w:proofErr w:type="spellStart"/>
      <w:r w:rsidRPr="009923A4">
        <w:rPr>
          <w:i/>
          <w:iCs/>
        </w:rPr>
        <w:t>fori</w:t>
      </w:r>
      <w:proofErr w:type="spellEnd"/>
      <w:r>
        <w:t>)</w:t>
      </w:r>
    </w:p>
    <w:p w14:paraId="3EE59796" w14:textId="77777777" w:rsidR="009923A4" w:rsidRPr="009923A4" w:rsidRDefault="009923A4" w:rsidP="000E77E1">
      <w:pPr>
        <w:spacing w:after="0"/>
      </w:pPr>
    </w:p>
    <w:p w14:paraId="0E4B0793" w14:textId="4D564DB2" w:rsidR="00AE2163" w:rsidRDefault="000E77E1" w:rsidP="008A76E4">
      <w:pPr>
        <w:pStyle w:val="ListParagraph"/>
        <w:numPr>
          <w:ilvl w:val="0"/>
          <w:numId w:val="8"/>
        </w:numPr>
        <w:jc w:val="both"/>
        <w:rPr>
          <w:rFonts w:ascii="Times New Roman" w:hAnsi="Times New Roman" w:cs="Times New Roman"/>
        </w:rPr>
      </w:pPr>
      <w:r>
        <w:rPr>
          <w:rFonts w:ascii="Times New Roman" w:hAnsi="Times New Roman" w:cs="Times New Roman"/>
        </w:rPr>
        <w:t>We</w:t>
      </w:r>
      <w:r w:rsidR="00AE2163" w:rsidRPr="003F1C58">
        <w:rPr>
          <w:rFonts w:ascii="Times New Roman" w:hAnsi="Times New Roman" w:cs="Times New Roman"/>
        </w:rPr>
        <w:t xml:space="preserve"> understand that a challenging point can be establishing the contents of foreign law when the applicable law is </w:t>
      </w:r>
      <w:r>
        <w:rPr>
          <w:rFonts w:ascii="Times New Roman" w:hAnsi="Times New Roman" w:cs="Times New Roman"/>
        </w:rPr>
        <w:t xml:space="preserve">different from the </w:t>
      </w:r>
      <w:r w:rsidRPr="000E77E1">
        <w:rPr>
          <w:rFonts w:ascii="Times New Roman" w:hAnsi="Times New Roman" w:cs="Times New Roman"/>
          <w:i/>
          <w:iCs/>
        </w:rPr>
        <w:t xml:space="preserve">lex </w:t>
      </w:r>
      <w:proofErr w:type="spellStart"/>
      <w:r w:rsidRPr="000E77E1">
        <w:rPr>
          <w:rFonts w:ascii="Times New Roman" w:hAnsi="Times New Roman" w:cs="Times New Roman"/>
          <w:i/>
          <w:iCs/>
        </w:rPr>
        <w:t>fori</w:t>
      </w:r>
      <w:proofErr w:type="spellEnd"/>
      <w:r>
        <w:rPr>
          <w:rFonts w:ascii="Times New Roman" w:hAnsi="Times New Roman" w:cs="Times New Roman"/>
        </w:rPr>
        <w:t>.</w:t>
      </w:r>
      <w:r w:rsidR="003E6D38" w:rsidRPr="003F1C58">
        <w:rPr>
          <w:rFonts w:ascii="Times New Roman" w:hAnsi="Times New Roman" w:cs="Times New Roman"/>
        </w:rPr>
        <w:t xml:space="preserve"> For example</w:t>
      </w:r>
      <w:r>
        <w:rPr>
          <w:rFonts w:ascii="Times New Roman" w:hAnsi="Times New Roman" w:cs="Times New Roman"/>
        </w:rPr>
        <w:t>,</w:t>
      </w:r>
      <w:r w:rsidR="007F48D6">
        <w:rPr>
          <w:rFonts w:ascii="Times New Roman" w:hAnsi="Times New Roman" w:cs="Times New Roman"/>
        </w:rPr>
        <w:t xml:space="preserve"> </w:t>
      </w:r>
      <w:r w:rsidR="003E6D38" w:rsidRPr="003F1C58">
        <w:rPr>
          <w:rFonts w:ascii="Times New Roman" w:hAnsi="Times New Roman" w:cs="Times New Roman"/>
        </w:rPr>
        <w:t>when a party purports to apply foreign law</w:t>
      </w:r>
      <w:r w:rsidR="007F48D6">
        <w:rPr>
          <w:rFonts w:ascii="Times New Roman" w:hAnsi="Times New Roman" w:cs="Times New Roman"/>
        </w:rPr>
        <w:t xml:space="preserve"> in UK courts</w:t>
      </w:r>
      <w:r w:rsidR="003E6D38" w:rsidRPr="003F1C58">
        <w:rPr>
          <w:rFonts w:ascii="Times New Roman" w:hAnsi="Times New Roman" w:cs="Times New Roman"/>
        </w:rPr>
        <w:t>, that party must plead foreign law as facts before the court.</w:t>
      </w:r>
      <w:r w:rsidR="00EF35A8" w:rsidRPr="003F1C58">
        <w:rPr>
          <w:rFonts w:ascii="Times New Roman" w:hAnsi="Times New Roman" w:cs="Times New Roman"/>
        </w:rPr>
        <w:t xml:space="preserve"> What are the methods and techniques used by the courts of your jurisdiction to establish the contents of foreign law?</w:t>
      </w:r>
    </w:p>
    <w:p w14:paraId="44B35351" w14:textId="7E88AE71" w:rsidR="00430418" w:rsidRPr="00430418" w:rsidRDefault="00430418" w:rsidP="00430418">
      <w:pPr>
        <w:jc w:val="both"/>
        <w:rPr>
          <w:rFonts w:ascii="Times New Roman" w:hAnsi="Times New Roman" w:cs="Times New Roman"/>
          <w:color w:val="7030A0"/>
        </w:rPr>
      </w:pPr>
      <w:r w:rsidRPr="00430418">
        <w:rPr>
          <w:rFonts w:ascii="Times New Roman" w:hAnsi="Times New Roman" w:cs="Times New Roman"/>
          <w:color w:val="7030A0"/>
        </w:rPr>
        <w:t xml:space="preserve">In general, Irish law mirrors English law on proof of foreign law: see Binchy, </w:t>
      </w:r>
      <w:r w:rsidRPr="00430418">
        <w:rPr>
          <w:rFonts w:ascii="Times New Roman" w:hAnsi="Times New Roman" w:cs="Times New Roman"/>
          <w:i/>
          <w:iCs/>
          <w:color w:val="7030A0"/>
        </w:rPr>
        <w:t>Irish Conflicts of Law</w:t>
      </w:r>
      <w:r w:rsidRPr="00430418">
        <w:rPr>
          <w:rFonts w:ascii="Times New Roman" w:hAnsi="Times New Roman" w:cs="Times New Roman"/>
          <w:color w:val="7030A0"/>
        </w:rPr>
        <w:t xml:space="preserve"> (1988)</w:t>
      </w:r>
      <w:r>
        <w:rPr>
          <w:rFonts w:ascii="Times New Roman" w:hAnsi="Times New Roman" w:cs="Times New Roman"/>
          <w:color w:val="7030A0"/>
        </w:rPr>
        <w:t xml:space="preserve"> 104 ff.</w:t>
      </w:r>
      <w:r w:rsidRPr="00430418">
        <w:rPr>
          <w:rFonts w:ascii="Times New Roman" w:hAnsi="Times New Roman" w:cs="Times New Roman"/>
          <w:color w:val="7030A0"/>
        </w:rPr>
        <w:t xml:space="preserve"> </w:t>
      </w:r>
    </w:p>
    <w:p w14:paraId="7166BE3A" w14:textId="5238DFB9" w:rsidR="00EF35A8" w:rsidRDefault="00EF35A8" w:rsidP="008A76E4">
      <w:pPr>
        <w:pStyle w:val="ListParagraph"/>
        <w:numPr>
          <w:ilvl w:val="0"/>
          <w:numId w:val="8"/>
        </w:numPr>
        <w:jc w:val="both"/>
        <w:rPr>
          <w:rFonts w:ascii="Times New Roman" w:hAnsi="Times New Roman" w:cs="Times New Roman"/>
        </w:rPr>
      </w:pPr>
      <w:r w:rsidRPr="003F1C58">
        <w:rPr>
          <w:rFonts w:ascii="Times New Roman" w:hAnsi="Times New Roman" w:cs="Times New Roman"/>
        </w:rPr>
        <w:t xml:space="preserve">If you are aware of case(s) where UK law (either the law of England and Wales or Scots law) was the applicable law, how did the court(s) interpret the said UK law? </w:t>
      </w:r>
    </w:p>
    <w:p w14:paraId="79F4E342" w14:textId="7FCC22E0" w:rsidR="00430418" w:rsidRPr="00430418" w:rsidRDefault="00430418" w:rsidP="00430418">
      <w:pPr>
        <w:jc w:val="both"/>
        <w:rPr>
          <w:rFonts w:ascii="Times New Roman" w:hAnsi="Times New Roman" w:cs="Times New Roman"/>
          <w:color w:val="7030A0"/>
        </w:rPr>
      </w:pPr>
      <w:r w:rsidRPr="00430418">
        <w:rPr>
          <w:rFonts w:ascii="Times New Roman" w:hAnsi="Times New Roman" w:cs="Times New Roman"/>
          <w:color w:val="7030A0"/>
        </w:rPr>
        <w:t>I could not find any Irish case-law on th</w:t>
      </w:r>
      <w:r>
        <w:rPr>
          <w:rFonts w:ascii="Times New Roman" w:hAnsi="Times New Roman" w:cs="Times New Roman"/>
          <w:color w:val="7030A0"/>
        </w:rPr>
        <w:t>e 2007 Hague Maintenance Protocol</w:t>
      </w:r>
      <w:r w:rsidRPr="00430418">
        <w:rPr>
          <w:rFonts w:ascii="Times New Roman" w:hAnsi="Times New Roman" w:cs="Times New Roman"/>
          <w:color w:val="7030A0"/>
        </w:rPr>
        <w:t>.</w:t>
      </w:r>
    </w:p>
    <w:p w14:paraId="46DC1F1F" w14:textId="6AB699B1" w:rsidR="00EF35A8" w:rsidRDefault="00EF35A8" w:rsidP="008A76E4">
      <w:pPr>
        <w:pStyle w:val="ListParagraph"/>
        <w:numPr>
          <w:ilvl w:val="0"/>
          <w:numId w:val="8"/>
        </w:numPr>
        <w:jc w:val="both"/>
        <w:rPr>
          <w:rFonts w:ascii="Times New Roman" w:hAnsi="Times New Roman" w:cs="Times New Roman"/>
        </w:rPr>
      </w:pPr>
      <w:r w:rsidRPr="003F1C58">
        <w:rPr>
          <w:rFonts w:ascii="Times New Roman" w:hAnsi="Times New Roman" w:cs="Times New Roman"/>
        </w:rPr>
        <w:lastRenderedPageBreak/>
        <w:t xml:space="preserve">In the same context, do you consider the </w:t>
      </w:r>
      <w:r w:rsidR="003E6D38" w:rsidRPr="003F1C58">
        <w:rPr>
          <w:rFonts w:ascii="Times New Roman" w:hAnsi="Times New Roman" w:cs="Times New Roman"/>
        </w:rPr>
        <w:t xml:space="preserve">Convention of 18 March 1970 on the Taking of Evidence Abroad in Civil or Commercial Matters </w:t>
      </w:r>
      <w:r w:rsidR="00527BAD">
        <w:rPr>
          <w:rFonts w:ascii="Times New Roman" w:hAnsi="Times New Roman" w:cs="Times New Roman"/>
        </w:rPr>
        <w:t>and/or the</w:t>
      </w:r>
      <w:r w:rsidR="00527BAD" w:rsidRPr="00527BAD">
        <w:t xml:space="preserve"> </w:t>
      </w:r>
      <w:r w:rsidR="00527BAD">
        <w:t xml:space="preserve">1968 </w:t>
      </w:r>
      <w:r w:rsidR="00527BAD" w:rsidRPr="00527BAD">
        <w:rPr>
          <w:rFonts w:ascii="Times New Roman" w:hAnsi="Times New Roman" w:cs="Times New Roman"/>
        </w:rPr>
        <w:t>European Convention on Information on Foreign Law</w:t>
      </w:r>
      <w:r w:rsidR="00527BAD">
        <w:rPr>
          <w:rFonts w:ascii="Times New Roman" w:hAnsi="Times New Roman" w:cs="Times New Roman"/>
        </w:rPr>
        <w:t xml:space="preserve"> (‘the </w:t>
      </w:r>
      <w:r w:rsidR="00527BAD" w:rsidRPr="00527BAD">
        <w:rPr>
          <w:rFonts w:ascii="Times New Roman" w:hAnsi="Times New Roman" w:cs="Times New Roman"/>
        </w:rPr>
        <w:t>London Convention</w:t>
      </w:r>
      <w:r w:rsidR="00527BAD">
        <w:rPr>
          <w:rFonts w:ascii="Times New Roman" w:hAnsi="Times New Roman" w:cs="Times New Roman"/>
        </w:rPr>
        <w:t xml:space="preserve">’) </w:t>
      </w:r>
      <w:r w:rsidR="003E6D38" w:rsidRPr="003F1C58">
        <w:rPr>
          <w:rFonts w:ascii="Times New Roman" w:hAnsi="Times New Roman" w:cs="Times New Roman"/>
        </w:rPr>
        <w:t>to be a useful tool?</w:t>
      </w:r>
    </w:p>
    <w:p w14:paraId="4C39DDDD" w14:textId="064B6BA1" w:rsidR="00430418" w:rsidRPr="00430418" w:rsidRDefault="00430418" w:rsidP="00430418">
      <w:pPr>
        <w:jc w:val="both"/>
        <w:rPr>
          <w:rFonts w:ascii="Times New Roman" w:hAnsi="Times New Roman" w:cs="Times New Roman"/>
          <w:color w:val="7030A0"/>
        </w:rPr>
      </w:pPr>
      <w:r w:rsidRPr="00430418">
        <w:rPr>
          <w:rFonts w:ascii="Times New Roman" w:hAnsi="Times New Roman" w:cs="Times New Roman"/>
          <w:color w:val="7030A0"/>
        </w:rPr>
        <w:t xml:space="preserve">I could not find any Irish case-law on </w:t>
      </w:r>
      <w:r w:rsidR="00AE37EB">
        <w:rPr>
          <w:rFonts w:ascii="Times New Roman" w:hAnsi="Times New Roman" w:cs="Times New Roman"/>
          <w:color w:val="7030A0"/>
        </w:rPr>
        <w:t xml:space="preserve">the </w:t>
      </w:r>
      <w:r w:rsidRPr="00430418">
        <w:rPr>
          <w:rFonts w:ascii="Times New Roman" w:hAnsi="Times New Roman" w:cs="Times New Roman"/>
          <w:color w:val="7030A0"/>
        </w:rPr>
        <w:t xml:space="preserve">2007 Maintenance Convention or on </w:t>
      </w:r>
      <w:r w:rsidR="00AE37EB">
        <w:rPr>
          <w:rFonts w:ascii="Times New Roman" w:hAnsi="Times New Roman" w:cs="Times New Roman"/>
          <w:color w:val="7030A0"/>
        </w:rPr>
        <w:t xml:space="preserve">the </w:t>
      </w:r>
      <w:r w:rsidRPr="00430418">
        <w:rPr>
          <w:rFonts w:ascii="Times New Roman" w:hAnsi="Times New Roman" w:cs="Times New Roman"/>
          <w:color w:val="7030A0"/>
        </w:rPr>
        <w:t xml:space="preserve">2007 Maintenance Protocol.  </w:t>
      </w:r>
    </w:p>
    <w:p w14:paraId="5B0CDB45" w14:textId="0BBD2AA6" w:rsidR="00536C66" w:rsidRDefault="00536C66" w:rsidP="002B4C5F">
      <w:pPr>
        <w:pStyle w:val="Heading2"/>
      </w:pPr>
      <w:r>
        <w:t>Recognition and enforcement</w:t>
      </w:r>
    </w:p>
    <w:p w14:paraId="7319E3F0" w14:textId="77777777" w:rsidR="002B4C5F" w:rsidRPr="002B4C5F" w:rsidRDefault="002B4C5F" w:rsidP="00403A5E">
      <w:pPr>
        <w:spacing w:after="0"/>
      </w:pPr>
    </w:p>
    <w:p w14:paraId="3A33DDD9" w14:textId="63747CBC" w:rsidR="00EF35A8" w:rsidRDefault="00EF35A8" w:rsidP="008A76E4">
      <w:pPr>
        <w:pStyle w:val="ListParagraph"/>
        <w:numPr>
          <w:ilvl w:val="0"/>
          <w:numId w:val="8"/>
        </w:numPr>
        <w:jc w:val="both"/>
        <w:rPr>
          <w:rFonts w:ascii="Times New Roman" w:hAnsi="Times New Roman" w:cs="Times New Roman"/>
        </w:rPr>
      </w:pPr>
      <w:r w:rsidRPr="003F1C58">
        <w:rPr>
          <w:rFonts w:ascii="Times New Roman" w:hAnsi="Times New Roman" w:cs="Times New Roman"/>
        </w:rPr>
        <w:t xml:space="preserve">If you are aware of case(s) where recognition and enforcement was sought in jurisdictions outside the EU, please comment on the procedural or other </w:t>
      </w:r>
      <w:r w:rsidR="003E6D38" w:rsidRPr="003F1C58">
        <w:rPr>
          <w:rFonts w:ascii="Times New Roman" w:hAnsi="Times New Roman" w:cs="Times New Roman"/>
        </w:rPr>
        <w:t xml:space="preserve">practical </w:t>
      </w:r>
      <w:r w:rsidRPr="003F1C58">
        <w:rPr>
          <w:rFonts w:ascii="Times New Roman" w:hAnsi="Times New Roman" w:cs="Times New Roman"/>
        </w:rPr>
        <w:t xml:space="preserve">differences between the </w:t>
      </w:r>
      <w:r w:rsidRPr="00B84736">
        <w:rPr>
          <w:rFonts w:ascii="Times New Roman" w:hAnsi="Times New Roman" w:cs="Times New Roman"/>
        </w:rPr>
        <w:t xml:space="preserve">Brussels </w:t>
      </w:r>
      <w:proofErr w:type="spellStart"/>
      <w:r w:rsidRPr="00B84736">
        <w:rPr>
          <w:rFonts w:ascii="Times New Roman" w:hAnsi="Times New Roman" w:cs="Times New Roman"/>
        </w:rPr>
        <w:t>I</w:t>
      </w:r>
      <w:r w:rsidR="00847BA7">
        <w:rPr>
          <w:rFonts w:ascii="Times New Roman" w:hAnsi="Times New Roman" w:cs="Times New Roman"/>
        </w:rPr>
        <w:t>I</w:t>
      </w:r>
      <w:r w:rsidRPr="00B84736">
        <w:rPr>
          <w:rFonts w:ascii="Times New Roman" w:hAnsi="Times New Roman" w:cs="Times New Roman"/>
        </w:rPr>
        <w:t>a</w:t>
      </w:r>
      <w:proofErr w:type="spellEnd"/>
      <w:r w:rsidRPr="00B84736">
        <w:rPr>
          <w:rFonts w:ascii="Times New Roman" w:hAnsi="Times New Roman" w:cs="Times New Roman"/>
        </w:rPr>
        <w:t xml:space="preserve"> Regulation and the 2007 </w:t>
      </w:r>
      <w:r w:rsidR="00583E42">
        <w:rPr>
          <w:rFonts w:ascii="Times New Roman" w:hAnsi="Times New Roman" w:cs="Times New Roman"/>
        </w:rPr>
        <w:t xml:space="preserve">Maintenance </w:t>
      </w:r>
      <w:r w:rsidRPr="00B84736">
        <w:rPr>
          <w:rFonts w:ascii="Times New Roman" w:hAnsi="Times New Roman" w:cs="Times New Roman"/>
        </w:rPr>
        <w:t>Convention regimes.</w:t>
      </w:r>
      <w:r w:rsidRPr="003F1C58">
        <w:rPr>
          <w:rFonts w:ascii="Times New Roman" w:hAnsi="Times New Roman" w:cs="Times New Roman"/>
        </w:rPr>
        <w:t xml:space="preserve"> </w:t>
      </w:r>
      <w:r w:rsidR="00430898">
        <w:rPr>
          <w:rFonts w:ascii="Times New Roman" w:hAnsi="Times New Roman" w:cs="Times New Roman"/>
        </w:rPr>
        <w:t>Where relevant, please comment also on</w:t>
      </w:r>
      <w:r w:rsidR="00583E42">
        <w:rPr>
          <w:rFonts w:ascii="Times New Roman" w:hAnsi="Times New Roman" w:cs="Times New Roman"/>
        </w:rPr>
        <w:t xml:space="preserve"> pertinent </w:t>
      </w:r>
      <w:r w:rsidR="00430898">
        <w:rPr>
          <w:rFonts w:ascii="Times New Roman" w:hAnsi="Times New Roman" w:cs="Times New Roman"/>
        </w:rPr>
        <w:t xml:space="preserve">cases under the </w:t>
      </w:r>
      <w:r w:rsidR="00583E42">
        <w:rPr>
          <w:rFonts w:ascii="Times New Roman" w:hAnsi="Times New Roman" w:cs="Times New Roman"/>
        </w:rPr>
        <w:t>Lugano Convention.</w:t>
      </w:r>
    </w:p>
    <w:p w14:paraId="17604E09" w14:textId="7F60BCC4" w:rsidR="00430418" w:rsidRPr="00430418" w:rsidRDefault="00430418" w:rsidP="00430418">
      <w:pPr>
        <w:jc w:val="both"/>
        <w:rPr>
          <w:rFonts w:ascii="Times New Roman" w:hAnsi="Times New Roman" w:cs="Times New Roman"/>
        </w:rPr>
      </w:pPr>
      <w:r w:rsidRPr="00430418">
        <w:rPr>
          <w:rFonts w:ascii="Times New Roman" w:hAnsi="Times New Roman" w:cs="Times New Roman"/>
          <w:color w:val="7030A0"/>
        </w:rPr>
        <w:t>I am not aware of any such cases.</w:t>
      </w:r>
    </w:p>
    <w:p w14:paraId="708F4ED2" w14:textId="474719DB" w:rsidR="00F408AF" w:rsidRDefault="00F408AF" w:rsidP="008A76E4">
      <w:pPr>
        <w:pStyle w:val="Heading2"/>
        <w:numPr>
          <w:ilvl w:val="0"/>
          <w:numId w:val="6"/>
        </w:numPr>
        <w:jc w:val="both"/>
        <w:rPr>
          <w:rFonts w:ascii="Times New Roman" w:hAnsi="Times New Roman" w:cs="Times New Roman"/>
          <w:b/>
          <w:bCs/>
          <w:sz w:val="24"/>
          <w:szCs w:val="24"/>
        </w:rPr>
      </w:pPr>
      <w:r w:rsidRPr="00517369">
        <w:rPr>
          <w:rFonts w:ascii="Times New Roman" w:hAnsi="Times New Roman" w:cs="Times New Roman"/>
          <w:b/>
          <w:bCs/>
          <w:sz w:val="24"/>
          <w:szCs w:val="24"/>
        </w:rPr>
        <w:t>Convention of 13 January 2000 on the International Protection of Adults</w:t>
      </w:r>
    </w:p>
    <w:p w14:paraId="4F1BAB71" w14:textId="77777777" w:rsidR="004466D4" w:rsidRDefault="004466D4" w:rsidP="004466D4"/>
    <w:p w14:paraId="5CA56CB5" w14:textId="6482FA67" w:rsidR="00BA48CF" w:rsidRPr="002750A0" w:rsidRDefault="004466D4" w:rsidP="002750A0">
      <w:pPr>
        <w:jc w:val="both"/>
        <w:rPr>
          <w:rFonts w:ascii="Times New Roman" w:hAnsi="Times New Roman" w:cs="Times New Roman"/>
          <w:color w:val="7030A0"/>
        </w:rPr>
      </w:pPr>
      <w:r w:rsidRPr="002750A0">
        <w:rPr>
          <w:rFonts w:ascii="Times New Roman" w:hAnsi="Times New Roman" w:cs="Times New Roman"/>
          <w:color w:val="7030A0"/>
        </w:rPr>
        <w:t xml:space="preserve">Ireland is not yet party to this </w:t>
      </w:r>
      <w:proofErr w:type="gramStart"/>
      <w:r w:rsidRPr="002750A0">
        <w:rPr>
          <w:rFonts w:ascii="Times New Roman" w:hAnsi="Times New Roman" w:cs="Times New Roman"/>
          <w:color w:val="7030A0"/>
        </w:rPr>
        <w:t>Convention,</w:t>
      </w:r>
      <w:proofErr w:type="gramEnd"/>
      <w:r w:rsidRPr="002750A0">
        <w:rPr>
          <w:rFonts w:ascii="Times New Roman" w:hAnsi="Times New Roman" w:cs="Times New Roman"/>
          <w:color w:val="7030A0"/>
        </w:rPr>
        <w:t xml:space="preserve"> however, it is a signatory and domestic legislation (the</w:t>
      </w:r>
      <w:r w:rsidR="006E19FA" w:rsidRPr="002750A0">
        <w:rPr>
          <w:rFonts w:ascii="Times New Roman" w:hAnsi="Times New Roman" w:cs="Times New Roman"/>
          <w:color w:val="7030A0"/>
        </w:rPr>
        <w:t xml:space="preserve"> </w:t>
      </w:r>
      <w:r w:rsidR="00455A16" w:rsidRPr="002750A0">
        <w:rPr>
          <w:rFonts w:ascii="Times New Roman" w:hAnsi="Times New Roman" w:cs="Times New Roman"/>
          <w:color w:val="7030A0"/>
        </w:rPr>
        <w:t xml:space="preserve">Assisted Decision-Making (Capacity) Act </w:t>
      </w:r>
      <w:r w:rsidR="006E19FA" w:rsidRPr="002750A0">
        <w:rPr>
          <w:rFonts w:ascii="Times New Roman" w:hAnsi="Times New Roman" w:cs="Times New Roman"/>
          <w:color w:val="7030A0"/>
        </w:rPr>
        <w:t xml:space="preserve">2015 </w:t>
      </w:r>
      <w:r w:rsidR="00455A16" w:rsidRPr="002750A0">
        <w:rPr>
          <w:rFonts w:ascii="Times New Roman" w:hAnsi="Times New Roman" w:cs="Times New Roman"/>
          <w:color w:val="7030A0"/>
        </w:rPr>
        <w:t>(at part 11)</w:t>
      </w:r>
      <w:r w:rsidR="002750A0">
        <w:rPr>
          <w:rFonts w:ascii="Times New Roman" w:hAnsi="Times New Roman" w:cs="Times New Roman"/>
          <w:color w:val="7030A0"/>
        </w:rPr>
        <w:t>)</w:t>
      </w:r>
      <w:r w:rsidR="00455A16" w:rsidRPr="002750A0">
        <w:rPr>
          <w:rFonts w:ascii="Times New Roman" w:hAnsi="Times New Roman" w:cs="Times New Roman"/>
          <w:color w:val="7030A0"/>
        </w:rPr>
        <w:t xml:space="preserve"> </w:t>
      </w:r>
      <w:r w:rsidR="00645DF3" w:rsidRPr="002750A0">
        <w:rPr>
          <w:rFonts w:ascii="Times New Roman" w:hAnsi="Times New Roman" w:cs="Times New Roman"/>
          <w:color w:val="7030A0"/>
        </w:rPr>
        <w:t xml:space="preserve">makes provision for giving effect to the Convention in Irish law. </w:t>
      </w:r>
      <w:r w:rsidR="003B2C2A" w:rsidRPr="002750A0">
        <w:rPr>
          <w:rFonts w:ascii="Times New Roman" w:hAnsi="Times New Roman" w:cs="Times New Roman"/>
          <w:color w:val="7030A0"/>
        </w:rPr>
        <w:t xml:space="preserve">I have been advised by an official at the Department of Justice that </w:t>
      </w:r>
      <w:r w:rsidR="006E19FA" w:rsidRPr="002750A0">
        <w:rPr>
          <w:rFonts w:ascii="Times New Roman" w:hAnsi="Times New Roman" w:cs="Times New Roman"/>
          <w:color w:val="7030A0"/>
        </w:rPr>
        <w:t>it is currently proposed</w:t>
      </w:r>
      <w:r w:rsidR="003B2C2A" w:rsidRPr="002750A0">
        <w:rPr>
          <w:rFonts w:ascii="Times New Roman" w:hAnsi="Times New Roman" w:cs="Times New Roman"/>
          <w:color w:val="7030A0"/>
        </w:rPr>
        <w:t xml:space="preserve"> that Ireland will ratify </w:t>
      </w:r>
      <w:r w:rsidR="002750A0" w:rsidRPr="002750A0">
        <w:rPr>
          <w:rFonts w:ascii="Times New Roman" w:hAnsi="Times New Roman" w:cs="Times New Roman"/>
          <w:color w:val="7030A0"/>
        </w:rPr>
        <w:t xml:space="preserve">the Convention very shortly so that it </w:t>
      </w:r>
      <w:r w:rsidR="003B2C2A" w:rsidRPr="002750A0">
        <w:rPr>
          <w:rFonts w:ascii="Times New Roman" w:hAnsi="Times New Roman" w:cs="Times New Roman"/>
          <w:color w:val="7030A0"/>
        </w:rPr>
        <w:t xml:space="preserve">will enter into force in Ireland </w:t>
      </w:r>
      <w:r w:rsidR="002750A0" w:rsidRPr="002750A0">
        <w:rPr>
          <w:rFonts w:ascii="Times New Roman" w:hAnsi="Times New Roman" w:cs="Times New Roman"/>
          <w:color w:val="7030A0"/>
        </w:rPr>
        <w:t xml:space="preserve">before the end of </w:t>
      </w:r>
      <w:r w:rsidR="003B2C2A" w:rsidRPr="002750A0">
        <w:rPr>
          <w:rFonts w:ascii="Times New Roman" w:hAnsi="Times New Roman" w:cs="Times New Roman"/>
          <w:color w:val="7030A0"/>
        </w:rPr>
        <w:t xml:space="preserve">2023. </w:t>
      </w:r>
    </w:p>
    <w:p w14:paraId="333E1D32" w14:textId="38319D0A" w:rsidR="0082156F" w:rsidRDefault="0082156F" w:rsidP="0082156F">
      <w:pPr>
        <w:pStyle w:val="Heading2"/>
      </w:pPr>
      <w:r>
        <w:t>Recognition and enforcement</w:t>
      </w:r>
    </w:p>
    <w:p w14:paraId="626267DD" w14:textId="77777777" w:rsidR="0082156F" w:rsidRPr="0082156F" w:rsidRDefault="0082156F" w:rsidP="0082156F"/>
    <w:p w14:paraId="28511AA8" w14:textId="0280AC13" w:rsidR="00F408AF" w:rsidRDefault="00124677" w:rsidP="008A76E4">
      <w:pPr>
        <w:pStyle w:val="ListParagraph"/>
        <w:numPr>
          <w:ilvl w:val="0"/>
          <w:numId w:val="8"/>
        </w:numPr>
        <w:jc w:val="both"/>
        <w:rPr>
          <w:rFonts w:ascii="Times New Roman" w:hAnsi="Times New Roman" w:cs="Times New Roman"/>
        </w:rPr>
      </w:pPr>
      <w:r w:rsidRPr="003F1C58">
        <w:rPr>
          <w:rFonts w:ascii="Times New Roman" w:hAnsi="Times New Roman" w:cs="Times New Roman"/>
        </w:rPr>
        <w:t xml:space="preserve">Please comment on how recognition and enforcement of measures of protection </w:t>
      </w:r>
      <w:r w:rsidR="007F48D6">
        <w:rPr>
          <w:rFonts w:ascii="Times New Roman" w:hAnsi="Times New Roman" w:cs="Times New Roman"/>
        </w:rPr>
        <w:t>are</w:t>
      </w:r>
      <w:r w:rsidRPr="003F1C58">
        <w:rPr>
          <w:rFonts w:ascii="Times New Roman" w:hAnsi="Times New Roman" w:cs="Times New Roman"/>
        </w:rPr>
        <w:t xml:space="preserve"> approached in your jurisdiction. If possible, please refer to examples from case law. </w:t>
      </w:r>
    </w:p>
    <w:p w14:paraId="277F2D91" w14:textId="559E755A" w:rsidR="002750A0" w:rsidRPr="002750A0" w:rsidRDefault="002750A0" w:rsidP="002750A0">
      <w:pPr>
        <w:jc w:val="both"/>
        <w:rPr>
          <w:rFonts w:ascii="Times New Roman" w:hAnsi="Times New Roman" w:cs="Times New Roman"/>
          <w:color w:val="7030A0"/>
        </w:rPr>
      </w:pPr>
      <w:bookmarkStart w:id="1" w:name="_Hlk134550328"/>
      <w:r w:rsidRPr="002750A0">
        <w:rPr>
          <w:rFonts w:ascii="Times New Roman" w:hAnsi="Times New Roman" w:cs="Times New Roman"/>
          <w:color w:val="7030A0"/>
        </w:rPr>
        <w:t>N/A – see above.</w:t>
      </w:r>
    </w:p>
    <w:bookmarkEnd w:id="1"/>
    <w:p w14:paraId="174E0EF0" w14:textId="092DCB93" w:rsidR="00124677" w:rsidRDefault="00124677" w:rsidP="008A76E4">
      <w:pPr>
        <w:pStyle w:val="ListParagraph"/>
        <w:numPr>
          <w:ilvl w:val="0"/>
          <w:numId w:val="8"/>
        </w:numPr>
        <w:jc w:val="both"/>
        <w:rPr>
          <w:rFonts w:ascii="Times New Roman" w:hAnsi="Times New Roman" w:cs="Times New Roman"/>
        </w:rPr>
      </w:pPr>
      <w:r w:rsidRPr="003F1C58">
        <w:rPr>
          <w:rFonts w:ascii="Times New Roman" w:hAnsi="Times New Roman" w:cs="Times New Roman"/>
        </w:rPr>
        <w:t xml:space="preserve">Please comment on how and to what extent foreign powers of attorney are capable of recognition and enforcement in your jurisdiction. If possible, please refer to examples from case law. </w:t>
      </w:r>
    </w:p>
    <w:p w14:paraId="3AE6AB1B" w14:textId="77777777" w:rsidR="002750A0" w:rsidRPr="002750A0" w:rsidRDefault="002750A0" w:rsidP="002750A0">
      <w:pPr>
        <w:jc w:val="both"/>
        <w:rPr>
          <w:rFonts w:ascii="Times New Roman" w:hAnsi="Times New Roman" w:cs="Times New Roman"/>
          <w:color w:val="7030A0"/>
        </w:rPr>
      </w:pPr>
      <w:r w:rsidRPr="002750A0">
        <w:rPr>
          <w:rFonts w:ascii="Times New Roman" w:hAnsi="Times New Roman" w:cs="Times New Roman"/>
          <w:color w:val="7030A0"/>
        </w:rPr>
        <w:t>N/A – see above.</w:t>
      </w:r>
    </w:p>
    <w:p w14:paraId="7BEA28F0" w14:textId="77777777" w:rsidR="002750A0" w:rsidRPr="002750A0" w:rsidRDefault="002750A0" w:rsidP="002750A0">
      <w:pPr>
        <w:jc w:val="both"/>
        <w:rPr>
          <w:rFonts w:ascii="Times New Roman" w:hAnsi="Times New Roman" w:cs="Times New Roman"/>
        </w:rPr>
      </w:pPr>
    </w:p>
    <w:p w14:paraId="2F047CD3" w14:textId="6DEBCC59" w:rsidR="00D309DF" w:rsidRDefault="00D309DF" w:rsidP="00D309DF">
      <w:pPr>
        <w:pStyle w:val="Heading2"/>
      </w:pPr>
      <w:r>
        <w:t>Applicable law</w:t>
      </w:r>
    </w:p>
    <w:p w14:paraId="78C11F26" w14:textId="77777777" w:rsidR="00D309DF" w:rsidRDefault="00D309DF" w:rsidP="008A76E4">
      <w:pPr>
        <w:jc w:val="both"/>
        <w:rPr>
          <w:rFonts w:ascii="Times New Roman" w:hAnsi="Times New Roman" w:cs="Times New Roman"/>
        </w:rPr>
      </w:pPr>
    </w:p>
    <w:p w14:paraId="334ABC8E" w14:textId="1C7E8194" w:rsidR="000472D0" w:rsidRPr="003F1C58" w:rsidRDefault="00D309DF" w:rsidP="008A76E4">
      <w:pPr>
        <w:jc w:val="both"/>
        <w:rPr>
          <w:rFonts w:ascii="Times New Roman" w:hAnsi="Times New Roman" w:cs="Times New Roman"/>
        </w:rPr>
      </w:pPr>
      <w:r>
        <w:rPr>
          <w:rFonts w:ascii="Times New Roman" w:hAnsi="Times New Roman" w:cs="Times New Roman"/>
        </w:rPr>
        <w:t xml:space="preserve">We </w:t>
      </w:r>
      <w:r w:rsidR="000472D0" w:rsidRPr="003F1C58">
        <w:rPr>
          <w:rFonts w:ascii="Times New Roman" w:hAnsi="Times New Roman" w:cs="Times New Roman"/>
        </w:rPr>
        <w:t xml:space="preserve">note that determining the law applicable to </w:t>
      </w:r>
      <w:r w:rsidR="000472D0" w:rsidRPr="003F1C58">
        <w:rPr>
          <w:rFonts w:ascii="Times New Roman" w:hAnsi="Times New Roman" w:cs="Times New Roman"/>
          <w:i/>
          <w:iCs/>
        </w:rPr>
        <w:t xml:space="preserve">ex </w:t>
      </w:r>
      <w:proofErr w:type="spellStart"/>
      <w:r w:rsidR="000472D0" w:rsidRPr="003F1C58">
        <w:rPr>
          <w:rFonts w:ascii="Times New Roman" w:hAnsi="Times New Roman" w:cs="Times New Roman"/>
          <w:i/>
          <w:iCs/>
        </w:rPr>
        <w:t>lege</w:t>
      </w:r>
      <w:proofErr w:type="spellEnd"/>
      <w:r w:rsidR="000472D0" w:rsidRPr="003F1C58">
        <w:rPr>
          <w:rFonts w:ascii="Times New Roman" w:hAnsi="Times New Roman" w:cs="Times New Roman"/>
          <w:i/>
          <w:iCs/>
        </w:rPr>
        <w:t xml:space="preserve"> </w:t>
      </w:r>
      <w:r w:rsidR="000472D0" w:rsidRPr="003F1C58">
        <w:rPr>
          <w:rFonts w:ascii="Times New Roman" w:hAnsi="Times New Roman" w:cs="Times New Roman"/>
        </w:rPr>
        <w:t xml:space="preserve">powers of representation highlights several existing issues, which are explored in the following questions. </w:t>
      </w:r>
    </w:p>
    <w:p w14:paraId="05AA8FFA" w14:textId="22986952" w:rsidR="000472D0" w:rsidRDefault="008362C4" w:rsidP="008A76E4">
      <w:pPr>
        <w:pStyle w:val="ListParagraph"/>
        <w:numPr>
          <w:ilvl w:val="0"/>
          <w:numId w:val="8"/>
        </w:numPr>
        <w:jc w:val="both"/>
        <w:rPr>
          <w:rFonts w:ascii="Times New Roman" w:hAnsi="Times New Roman" w:cs="Times New Roman"/>
        </w:rPr>
      </w:pPr>
      <w:r w:rsidRPr="003F1C58">
        <w:rPr>
          <w:rFonts w:ascii="Times New Roman" w:hAnsi="Times New Roman" w:cs="Times New Roman"/>
        </w:rPr>
        <w:t xml:space="preserve">Is it possible for </w:t>
      </w:r>
      <w:r w:rsidRPr="003F1C58">
        <w:rPr>
          <w:rFonts w:ascii="Times New Roman" w:hAnsi="Times New Roman" w:cs="Times New Roman"/>
          <w:i/>
          <w:iCs/>
        </w:rPr>
        <w:t xml:space="preserve">ex </w:t>
      </w:r>
      <w:proofErr w:type="spellStart"/>
      <w:r w:rsidRPr="003F1C58">
        <w:rPr>
          <w:rFonts w:ascii="Times New Roman" w:hAnsi="Times New Roman" w:cs="Times New Roman"/>
          <w:i/>
          <w:iCs/>
        </w:rPr>
        <w:t>lege</w:t>
      </w:r>
      <w:proofErr w:type="spellEnd"/>
      <w:r w:rsidRPr="003F1C58">
        <w:rPr>
          <w:rFonts w:ascii="Times New Roman" w:hAnsi="Times New Roman" w:cs="Times New Roman"/>
        </w:rPr>
        <w:t xml:space="preserve"> powers of attorney to arise</w:t>
      </w:r>
      <w:r w:rsidR="003F1C58" w:rsidRPr="003F1C58">
        <w:rPr>
          <w:rFonts w:ascii="Times New Roman" w:hAnsi="Times New Roman" w:cs="Times New Roman"/>
        </w:rPr>
        <w:t xml:space="preserve"> under the 2000 Convention</w:t>
      </w:r>
      <w:r w:rsidR="007F48D6" w:rsidRPr="007F48D6">
        <w:rPr>
          <w:rFonts w:ascii="Times New Roman" w:hAnsi="Times New Roman" w:cs="Times New Roman"/>
        </w:rPr>
        <w:t xml:space="preserve"> </w:t>
      </w:r>
      <w:r w:rsidR="007F48D6" w:rsidRPr="003F1C58">
        <w:rPr>
          <w:rFonts w:ascii="Times New Roman" w:hAnsi="Times New Roman" w:cs="Times New Roman"/>
        </w:rPr>
        <w:t>in your jurisdiction</w:t>
      </w:r>
      <w:r w:rsidR="003F1C58" w:rsidRPr="003F1C58">
        <w:rPr>
          <w:rFonts w:ascii="Times New Roman" w:hAnsi="Times New Roman" w:cs="Times New Roman"/>
        </w:rPr>
        <w:t>?</w:t>
      </w:r>
    </w:p>
    <w:p w14:paraId="1E9D97E6" w14:textId="77777777" w:rsidR="002750A0" w:rsidRPr="002750A0" w:rsidRDefault="002750A0" w:rsidP="002750A0">
      <w:pPr>
        <w:jc w:val="both"/>
        <w:rPr>
          <w:rFonts w:ascii="Times New Roman" w:hAnsi="Times New Roman" w:cs="Times New Roman"/>
          <w:color w:val="7030A0"/>
        </w:rPr>
      </w:pPr>
      <w:r w:rsidRPr="002750A0">
        <w:rPr>
          <w:rFonts w:ascii="Times New Roman" w:hAnsi="Times New Roman" w:cs="Times New Roman"/>
          <w:color w:val="7030A0"/>
        </w:rPr>
        <w:t>N/A – see above.</w:t>
      </w:r>
    </w:p>
    <w:p w14:paraId="4FF6A6F6" w14:textId="77777777" w:rsidR="002750A0" w:rsidRPr="002750A0" w:rsidRDefault="002750A0" w:rsidP="002750A0">
      <w:pPr>
        <w:jc w:val="both"/>
        <w:rPr>
          <w:rFonts w:ascii="Times New Roman" w:hAnsi="Times New Roman" w:cs="Times New Roman"/>
        </w:rPr>
      </w:pPr>
    </w:p>
    <w:p w14:paraId="5AD1CC3F" w14:textId="341580C2" w:rsidR="003F1C58" w:rsidRDefault="003F1C58" w:rsidP="008A76E4">
      <w:pPr>
        <w:pStyle w:val="ListParagraph"/>
        <w:numPr>
          <w:ilvl w:val="0"/>
          <w:numId w:val="8"/>
        </w:numPr>
        <w:jc w:val="both"/>
        <w:rPr>
          <w:rFonts w:ascii="Times New Roman" w:hAnsi="Times New Roman" w:cs="Times New Roman"/>
        </w:rPr>
      </w:pPr>
      <w:r w:rsidRPr="003F1C58">
        <w:rPr>
          <w:rFonts w:ascii="Times New Roman" w:hAnsi="Times New Roman" w:cs="Times New Roman"/>
        </w:rPr>
        <w:t xml:space="preserve">How is the above question classified in your </w:t>
      </w:r>
      <w:r w:rsidR="007F48D6" w:rsidRPr="003F1C58">
        <w:rPr>
          <w:rFonts w:ascii="Times New Roman" w:hAnsi="Times New Roman" w:cs="Times New Roman"/>
        </w:rPr>
        <w:t>jurisdiction,</w:t>
      </w:r>
      <w:r w:rsidRPr="003F1C58">
        <w:rPr>
          <w:rFonts w:ascii="Times New Roman" w:hAnsi="Times New Roman" w:cs="Times New Roman"/>
        </w:rPr>
        <w:t xml:space="preserve"> as a matter of personal law or protection?</w:t>
      </w:r>
    </w:p>
    <w:p w14:paraId="49DEFEE9" w14:textId="77777777" w:rsidR="002750A0" w:rsidRPr="002750A0" w:rsidRDefault="002750A0" w:rsidP="002750A0">
      <w:pPr>
        <w:jc w:val="both"/>
        <w:rPr>
          <w:rFonts w:ascii="Times New Roman" w:hAnsi="Times New Roman" w:cs="Times New Roman"/>
          <w:color w:val="7030A0"/>
        </w:rPr>
      </w:pPr>
      <w:r w:rsidRPr="002750A0">
        <w:rPr>
          <w:rFonts w:ascii="Times New Roman" w:hAnsi="Times New Roman" w:cs="Times New Roman"/>
          <w:color w:val="7030A0"/>
        </w:rPr>
        <w:lastRenderedPageBreak/>
        <w:t>N/A – see above.</w:t>
      </w:r>
    </w:p>
    <w:p w14:paraId="4F534DDD" w14:textId="77777777" w:rsidR="002750A0" w:rsidRPr="002750A0" w:rsidRDefault="002750A0" w:rsidP="002750A0">
      <w:pPr>
        <w:jc w:val="both"/>
        <w:rPr>
          <w:rFonts w:ascii="Times New Roman" w:hAnsi="Times New Roman" w:cs="Times New Roman"/>
        </w:rPr>
      </w:pPr>
    </w:p>
    <w:p w14:paraId="47AD8838" w14:textId="66DBA956" w:rsidR="002750A0" w:rsidRPr="002750A0" w:rsidRDefault="003F1C58" w:rsidP="002750A0">
      <w:pPr>
        <w:pStyle w:val="ListParagraph"/>
        <w:numPr>
          <w:ilvl w:val="0"/>
          <w:numId w:val="8"/>
        </w:numPr>
        <w:jc w:val="both"/>
        <w:rPr>
          <w:rFonts w:ascii="Times New Roman" w:hAnsi="Times New Roman" w:cs="Times New Roman"/>
        </w:rPr>
      </w:pPr>
      <w:r w:rsidRPr="00D309DF">
        <w:rPr>
          <w:rFonts w:ascii="Times New Roman" w:hAnsi="Times New Roman" w:cs="Times New Roman"/>
        </w:rPr>
        <w:t>What do you consider the greatest pitfall of the 2000 Convention to be in this regard?</w:t>
      </w:r>
    </w:p>
    <w:p w14:paraId="4EB96300" w14:textId="77777777" w:rsidR="002750A0" w:rsidRDefault="002750A0" w:rsidP="002750A0">
      <w:pPr>
        <w:jc w:val="both"/>
        <w:rPr>
          <w:rFonts w:ascii="Times New Roman" w:hAnsi="Times New Roman" w:cs="Times New Roman"/>
          <w:color w:val="7030A0"/>
        </w:rPr>
      </w:pPr>
    </w:p>
    <w:p w14:paraId="3124201F" w14:textId="13FC3CE9" w:rsidR="002750A0" w:rsidRPr="002750A0" w:rsidRDefault="002750A0" w:rsidP="002750A0">
      <w:pPr>
        <w:jc w:val="both"/>
        <w:rPr>
          <w:rFonts w:ascii="Times New Roman" w:hAnsi="Times New Roman" w:cs="Times New Roman"/>
          <w:color w:val="7030A0"/>
        </w:rPr>
      </w:pPr>
      <w:r w:rsidRPr="002750A0">
        <w:rPr>
          <w:rFonts w:ascii="Times New Roman" w:hAnsi="Times New Roman" w:cs="Times New Roman"/>
          <w:color w:val="7030A0"/>
        </w:rPr>
        <w:t>N/A – see above.</w:t>
      </w:r>
    </w:p>
    <w:p w14:paraId="6F8DE200" w14:textId="77777777" w:rsidR="002750A0" w:rsidRPr="002750A0" w:rsidRDefault="002750A0" w:rsidP="002750A0">
      <w:pPr>
        <w:jc w:val="both"/>
        <w:rPr>
          <w:rFonts w:ascii="Times New Roman" w:hAnsi="Times New Roman" w:cs="Times New Roman"/>
        </w:rPr>
      </w:pPr>
    </w:p>
    <w:p w14:paraId="14C9C13F" w14:textId="082EAFA1" w:rsidR="00B84736" w:rsidRDefault="00B84736" w:rsidP="007B7184">
      <w:pPr>
        <w:pStyle w:val="ListParagraph"/>
        <w:jc w:val="both"/>
        <w:rPr>
          <w:rFonts w:ascii="Times New Roman" w:hAnsi="Times New Roman" w:cs="Times New Roman"/>
        </w:rPr>
      </w:pPr>
    </w:p>
    <w:p w14:paraId="52860277" w14:textId="53EF8D6C" w:rsidR="001D61EB" w:rsidRPr="0087616E" w:rsidRDefault="001D61EB" w:rsidP="0087616E">
      <w:pPr>
        <w:pStyle w:val="Heading2"/>
        <w:numPr>
          <w:ilvl w:val="0"/>
          <w:numId w:val="6"/>
        </w:numPr>
        <w:rPr>
          <w:rFonts w:ascii="Times New Roman" w:hAnsi="Times New Roman" w:cs="Times New Roman"/>
          <w:b/>
          <w:bCs/>
          <w:sz w:val="24"/>
          <w:szCs w:val="24"/>
        </w:rPr>
      </w:pPr>
      <w:r w:rsidRPr="0087616E">
        <w:rPr>
          <w:rStyle w:val="Heading2Char"/>
          <w:rFonts w:ascii="Times New Roman" w:hAnsi="Times New Roman" w:cs="Times New Roman"/>
          <w:b/>
          <w:bCs/>
          <w:sz w:val="24"/>
          <w:szCs w:val="24"/>
        </w:rPr>
        <w:t xml:space="preserve">Cooperation </w:t>
      </w:r>
      <w:r w:rsidR="00411A3C" w:rsidRPr="0087616E">
        <w:rPr>
          <w:rStyle w:val="Heading2Char"/>
          <w:rFonts w:ascii="Times New Roman" w:hAnsi="Times New Roman" w:cs="Times New Roman"/>
          <w:b/>
          <w:bCs/>
          <w:sz w:val="24"/>
          <w:szCs w:val="24"/>
        </w:rPr>
        <w:t xml:space="preserve">and training </w:t>
      </w:r>
    </w:p>
    <w:p w14:paraId="262A74EE" w14:textId="0C48115A" w:rsidR="001D61EB" w:rsidRDefault="001D61EB" w:rsidP="007B7184">
      <w:pPr>
        <w:pStyle w:val="ListParagraph"/>
        <w:jc w:val="both"/>
        <w:rPr>
          <w:rFonts w:ascii="Times New Roman" w:hAnsi="Times New Roman" w:cs="Times New Roman"/>
        </w:rPr>
      </w:pPr>
    </w:p>
    <w:p w14:paraId="47107161" w14:textId="721C06FB" w:rsidR="00FA2181" w:rsidRDefault="00FA2181" w:rsidP="00FA2181">
      <w:pPr>
        <w:pStyle w:val="ListParagraph"/>
        <w:numPr>
          <w:ilvl w:val="0"/>
          <w:numId w:val="8"/>
        </w:numPr>
        <w:jc w:val="both"/>
        <w:rPr>
          <w:rFonts w:ascii="Times New Roman" w:hAnsi="Times New Roman" w:cs="Times New Roman"/>
        </w:rPr>
      </w:pPr>
      <w:r>
        <w:rPr>
          <w:rFonts w:ascii="Times New Roman" w:hAnsi="Times New Roman" w:cs="Times New Roman"/>
        </w:rPr>
        <w:t xml:space="preserve">Do you consider </w:t>
      </w:r>
      <w:r w:rsidRPr="00EB222F">
        <w:rPr>
          <w:rFonts w:ascii="Times New Roman" w:hAnsi="Times New Roman" w:cs="Times New Roman"/>
        </w:rPr>
        <w:t xml:space="preserve">the </w:t>
      </w:r>
      <w:r>
        <w:rPr>
          <w:rFonts w:ascii="Times New Roman" w:hAnsi="Times New Roman" w:cs="Times New Roman"/>
        </w:rPr>
        <w:t xml:space="preserve">cross-border </w:t>
      </w:r>
      <w:r w:rsidRPr="00EB222F">
        <w:rPr>
          <w:rFonts w:ascii="Times New Roman" w:hAnsi="Times New Roman" w:cs="Times New Roman"/>
        </w:rPr>
        <w:t xml:space="preserve">cooperation </w:t>
      </w:r>
      <w:r>
        <w:rPr>
          <w:rFonts w:ascii="Times New Roman" w:hAnsi="Times New Roman" w:cs="Times New Roman"/>
        </w:rPr>
        <w:t>between</w:t>
      </w:r>
      <w:r w:rsidRPr="00EB222F">
        <w:rPr>
          <w:rFonts w:ascii="Times New Roman" w:hAnsi="Times New Roman" w:cs="Times New Roman"/>
        </w:rPr>
        <w:t xml:space="preserve"> courts and other authorities involved in handling international family cases </w:t>
      </w:r>
      <w:r>
        <w:rPr>
          <w:rFonts w:ascii="Times New Roman" w:hAnsi="Times New Roman" w:cs="Times New Roman"/>
        </w:rPr>
        <w:t xml:space="preserve">under the Hague Conventions </w:t>
      </w:r>
      <w:r w:rsidRPr="00EB222F">
        <w:rPr>
          <w:rFonts w:ascii="Times New Roman" w:hAnsi="Times New Roman" w:cs="Times New Roman"/>
        </w:rPr>
        <w:t>listed above</w:t>
      </w:r>
      <w:r>
        <w:rPr>
          <w:rFonts w:ascii="Times New Roman" w:hAnsi="Times New Roman" w:cs="Times New Roman"/>
        </w:rPr>
        <w:t xml:space="preserve"> to be efficient?</w:t>
      </w:r>
      <w:r w:rsidRPr="00EB222F">
        <w:rPr>
          <w:rFonts w:ascii="Times New Roman" w:hAnsi="Times New Roman" w:cs="Times New Roman"/>
        </w:rPr>
        <w:t xml:space="preserve"> </w:t>
      </w:r>
    </w:p>
    <w:p w14:paraId="5CE905CC" w14:textId="77777777" w:rsidR="005E7B1E" w:rsidRDefault="005E7B1E" w:rsidP="0033068D">
      <w:pPr>
        <w:jc w:val="both"/>
        <w:rPr>
          <w:rFonts w:ascii="Times New Roman" w:hAnsi="Times New Roman" w:cs="Times New Roman"/>
          <w:color w:val="7030A0"/>
        </w:rPr>
      </w:pPr>
    </w:p>
    <w:p w14:paraId="3844CD69" w14:textId="303ADACF" w:rsidR="0033068D" w:rsidRDefault="0033068D" w:rsidP="0033068D">
      <w:pPr>
        <w:jc w:val="both"/>
        <w:rPr>
          <w:rFonts w:ascii="Times New Roman" w:hAnsi="Times New Roman" w:cs="Times New Roman"/>
          <w:color w:val="7030A0"/>
        </w:rPr>
      </w:pPr>
      <w:r w:rsidRPr="0033068D">
        <w:rPr>
          <w:rFonts w:ascii="Times New Roman" w:hAnsi="Times New Roman" w:cs="Times New Roman"/>
          <w:color w:val="7030A0"/>
        </w:rPr>
        <w:t>I</w:t>
      </w:r>
      <w:r w:rsidR="002750A0">
        <w:rPr>
          <w:rFonts w:ascii="Times New Roman" w:hAnsi="Times New Roman" w:cs="Times New Roman"/>
          <w:color w:val="7030A0"/>
        </w:rPr>
        <w:t xml:space="preserve"> have no information on this. </w:t>
      </w:r>
    </w:p>
    <w:p w14:paraId="78F37E22" w14:textId="77777777" w:rsidR="005E7B1E" w:rsidRPr="0033068D" w:rsidRDefault="005E7B1E" w:rsidP="0033068D">
      <w:pPr>
        <w:jc w:val="both"/>
        <w:rPr>
          <w:rFonts w:ascii="Times New Roman" w:hAnsi="Times New Roman" w:cs="Times New Roman"/>
          <w:color w:val="7030A0"/>
        </w:rPr>
      </w:pPr>
    </w:p>
    <w:p w14:paraId="5CDA7D43" w14:textId="77777777" w:rsidR="00FA2181" w:rsidRDefault="00FA2181" w:rsidP="00FA2181">
      <w:pPr>
        <w:pStyle w:val="ListParagraph"/>
        <w:numPr>
          <w:ilvl w:val="0"/>
          <w:numId w:val="8"/>
        </w:numPr>
        <w:jc w:val="both"/>
        <w:rPr>
          <w:rFonts w:ascii="Times New Roman" w:hAnsi="Times New Roman" w:cs="Times New Roman"/>
        </w:rPr>
      </w:pPr>
      <w:r w:rsidRPr="00EB222F">
        <w:rPr>
          <w:rFonts w:ascii="Times New Roman" w:hAnsi="Times New Roman" w:cs="Times New Roman"/>
        </w:rPr>
        <w:t xml:space="preserve">Can you compare its functioning among EU </w:t>
      </w:r>
      <w:r>
        <w:rPr>
          <w:rFonts w:ascii="Times New Roman" w:hAnsi="Times New Roman" w:cs="Times New Roman"/>
        </w:rPr>
        <w:t>M</w:t>
      </w:r>
      <w:r w:rsidRPr="00EB222F">
        <w:rPr>
          <w:rFonts w:ascii="Times New Roman" w:hAnsi="Times New Roman" w:cs="Times New Roman"/>
        </w:rPr>
        <w:t xml:space="preserve">ember </w:t>
      </w:r>
      <w:r>
        <w:rPr>
          <w:rFonts w:ascii="Times New Roman" w:hAnsi="Times New Roman" w:cs="Times New Roman"/>
        </w:rPr>
        <w:t>S</w:t>
      </w:r>
      <w:r w:rsidRPr="00EB222F">
        <w:rPr>
          <w:rFonts w:ascii="Times New Roman" w:hAnsi="Times New Roman" w:cs="Times New Roman"/>
        </w:rPr>
        <w:t>tates</w:t>
      </w:r>
      <w:r>
        <w:rPr>
          <w:rFonts w:ascii="Times New Roman" w:hAnsi="Times New Roman" w:cs="Times New Roman"/>
        </w:rPr>
        <w:t xml:space="preserve"> on one hand and between EU</w:t>
      </w:r>
      <w:r w:rsidRPr="00EB222F">
        <w:rPr>
          <w:rFonts w:ascii="Times New Roman" w:hAnsi="Times New Roman" w:cs="Times New Roman"/>
        </w:rPr>
        <w:t xml:space="preserve"> Member State</w:t>
      </w:r>
      <w:r>
        <w:rPr>
          <w:rFonts w:ascii="Times New Roman" w:hAnsi="Times New Roman" w:cs="Times New Roman"/>
        </w:rPr>
        <w:t>s</w:t>
      </w:r>
      <w:r w:rsidRPr="00EB222F">
        <w:rPr>
          <w:rFonts w:ascii="Times New Roman" w:hAnsi="Times New Roman" w:cs="Times New Roman"/>
        </w:rPr>
        <w:t xml:space="preserve"> and third state</w:t>
      </w:r>
      <w:r>
        <w:rPr>
          <w:rFonts w:ascii="Times New Roman" w:hAnsi="Times New Roman" w:cs="Times New Roman"/>
        </w:rPr>
        <w:t>s on the other hand?</w:t>
      </w:r>
      <w:r w:rsidRPr="00EB222F">
        <w:rPr>
          <w:rFonts w:ascii="Times New Roman" w:hAnsi="Times New Roman" w:cs="Times New Roman"/>
        </w:rPr>
        <w:t xml:space="preserve"> </w:t>
      </w:r>
    </w:p>
    <w:p w14:paraId="699165DD" w14:textId="77777777" w:rsidR="002750A0" w:rsidRPr="002750A0" w:rsidRDefault="002750A0" w:rsidP="002750A0">
      <w:pPr>
        <w:jc w:val="both"/>
        <w:rPr>
          <w:rFonts w:ascii="Times New Roman" w:hAnsi="Times New Roman" w:cs="Times New Roman"/>
          <w:color w:val="7030A0"/>
        </w:rPr>
      </w:pPr>
      <w:r w:rsidRPr="002750A0">
        <w:rPr>
          <w:rFonts w:ascii="Times New Roman" w:hAnsi="Times New Roman" w:cs="Times New Roman"/>
          <w:color w:val="7030A0"/>
        </w:rPr>
        <w:t xml:space="preserve">I have no information on this. </w:t>
      </w:r>
    </w:p>
    <w:p w14:paraId="1BD1C97A" w14:textId="77777777" w:rsidR="002750A0" w:rsidRPr="002750A0" w:rsidRDefault="002750A0" w:rsidP="002750A0">
      <w:pPr>
        <w:jc w:val="both"/>
        <w:rPr>
          <w:rFonts w:ascii="Times New Roman" w:hAnsi="Times New Roman" w:cs="Times New Roman"/>
        </w:rPr>
      </w:pPr>
    </w:p>
    <w:p w14:paraId="45046A2D" w14:textId="77777777" w:rsidR="00FA2181" w:rsidRDefault="00FA2181" w:rsidP="00FA2181">
      <w:pPr>
        <w:pStyle w:val="ListParagraph"/>
        <w:numPr>
          <w:ilvl w:val="0"/>
          <w:numId w:val="8"/>
        </w:numPr>
        <w:jc w:val="both"/>
        <w:rPr>
          <w:rFonts w:ascii="Times New Roman" w:hAnsi="Times New Roman" w:cs="Times New Roman"/>
        </w:rPr>
      </w:pPr>
      <w:r w:rsidRPr="00EB222F">
        <w:rPr>
          <w:rFonts w:ascii="Times New Roman" w:hAnsi="Times New Roman" w:cs="Times New Roman"/>
        </w:rPr>
        <w:t xml:space="preserve">Is </w:t>
      </w:r>
      <w:r>
        <w:rPr>
          <w:rFonts w:ascii="Times New Roman" w:hAnsi="Times New Roman" w:cs="Times New Roman"/>
        </w:rPr>
        <w:t xml:space="preserve">the </w:t>
      </w:r>
      <w:r w:rsidRPr="00EB222F">
        <w:rPr>
          <w:rFonts w:ascii="Times New Roman" w:hAnsi="Times New Roman" w:cs="Times New Roman"/>
        </w:rPr>
        <w:t xml:space="preserve">usage of modern technologies </w:t>
      </w:r>
      <w:r>
        <w:rPr>
          <w:rFonts w:ascii="Times New Roman" w:hAnsi="Times New Roman" w:cs="Times New Roman"/>
        </w:rPr>
        <w:t xml:space="preserve">in cross-border cooperation </w:t>
      </w:r>
      <w:r w:rsidRPr="00EB222F">
        <w:rPr>
          <w:rFonts w:ascii="Times New Roman" w:hAnsi="Times New Roman" w:cs="Times New Roman"/>
        </w:rPr>
        <w:t xml:space="preserve">equally represented in EU and non-EU cooperation? </w:t>
      </w:r>
    </w:p>
    <w:p w14:paraId="2348C360" w14:textId="77777777" w:rsidR="002750A0" w:rsidRPr="002750A0" w:rsidRDefault="002750A0" w:rsidP="002750A0">
      <w:pPr>
        <w:pStyle w:val="ListParagraph"/>
        <w:rPr>
          <w:rFonts w:ascii="Times New Roman" w:hAnsi="Times New Roman" w:cs="Times New Roman"/>
        </w:rPr>
      </w:pPr>
    </w:p>
    <w:p w14:paraId="0ED7535F" w14:textId="77777777" w:rsidR="002750A0" w:rsidRPr="0033068D" w:rsidRDefault="002750A0" w:rsidP="002750A0">
      <w:pPr>
        <w:jc w:val="both"/>
        <w:rPr>
          <w:rFonts w:ascii="Times New Roman" w:hAnsi="Times New Roman" w:cs="Times New Roman"/>
          <w:color w:val="7030A0"/>
        </w:rPr>
      </w:pPr>
      <w:r w:rsidRPr="0033068D">
        <w:rPr>
          <w:rFonts w:ascii="Times New Roman" w:hAnsi="Times New Roman" w:cs="Times New Roman"/>
          <w:color w:val="7030A0"/>
        </w:rPr>
        <w:t>I</w:t>
      </w:r>
      <w:r>
        <w:rPr>
          <w:rFonts w:ascii="Times New Roman" w:hAnsi="Times New Roman" w:cs="Times New Roman"/>
          <w:color w:val="7030A0"/>
        </w:rPr>
        <w:t xml:space="preserve"> have no information on this. </w:t>
      </w:r>
    </w:p>
    <w:p w14:paraId="3400F1CB" w14:textId="77777777" w:rsidR="002750A0" w:rsidRPr="002750A0" w:rsidRDefault="002750A0" w:rsidP="002750A0">
      <w:pPr>
        <w:jc w:val="both"/>
        <w:rPr>
          <w:rFonts w:ascii="Times New Roman" w:hAnsi="Times New Roman" w:cs="Times New Roman"/>
        </w:rPr>
      </w:pPr>
    </w:p>
    <w:p w14:paraId="556A1D55" w14:textId="77777777" w:rsidR="00FA2181" w:rsidRDefault="00FA2181" w:rsidP="00FA2181">
      <w:pPr>
        <w:pStyle w:val="ListParagraph"/>
        <w:numPr>
          <w:ilvl w:val="0"/>
          <w:numId w:val="8"/>
        </w:numPr>
        <w:jc w:val="both"/>
        <w:rPr>
          <w:rFonts w:ascii="Times New Roman" w:hAnsi="Times New Roman" w:cs="Times New Roman"/>
        </w:rPr>
      </w:pPr>
      <w:r w:rsidRPr="00EB222F">
        <w:rPr>
          <w:rFonts w:ascii="Times New Roman" w:hAnsi="Times New Roman" w:cs="Times New Roman"/>
        </w:rPr>
        <w:t xml:space="preserve">What steps should be </w:t>
      </w:r>
      <w:r>
        <w:rPr>
          <w:rFonts w:ascii="Times New Roman" w:hAnsi="Times New Roman" w:cs="Times New Roman"/>
        </w:rPr>
        <w:t>taken</w:t>
      </w:r>
      <w:r w:rsidRPr="00EB222F">
        <w:rPr>
          <w:rFonts w:ascii="Times New Roman" w:hAnsi="Times New Roman" w:cs="Times New Roman"/>
        </w:rPr>
        <w:t xml:space="preserve"> to make</w:t>
      </w:r>
      <w:r>
        <w:rPr>
          <w:rFonts w:ascii="Times New Roman" w:hAnsi="Times New Roman" w:cs="Times New Roman"/>
        </w:rPr>
        <w:t xml:space="preserve"> cross-border cooperation</w:t>
      </w:r>
      <w:r w:rsidRPr="00EB222F">
        <w:rPr>
          <w:rFonts w:ascii="Times New Roman" w:hAnsi="Times New Roman" w:cs="Times New Roman"/>
        </w:rPr>
        <w:t xml:space="preserve"> more efficient, timely and successful? </w:t>
      </w:r>
    </w:p>
    <w:p w14:paraId="5B5F62C1" w14:textId="77777777" w:rsidR="002750A0" w:rsidRPr="002750A0" w:rsidRDefault="002750A0" w:rsidP="002750A0">
      <w:pPr>
        <w:jc w:val="both"/>
        <w:rPr>
          <w:rFonts w:ascii="Times New Roman" w:hAnsi="Times New Roman" w:cs="Times New Roman"/>
          <w:color w:val="7030A0"/>
        </w:rPr>
      </w:pPr>
      <w:r w:rsidRPr="002750A0">
        <w:rPr>
          <w:rFonts w:ascii="Times New Roman" w:hAnsi="Times New Roman" w:cs="Times New Roman"/>
          <w:color w:val="7030A0"/>
        </w:rPr>
        <w:t xml:space="preserve">I have no information on this. </w:t>
      </w:r>
    </w:p>
    <w:p w14:paraId="6BCDD7D6" w14:textId="77777777" w:rsidR="002750A0" w:rsidRPr="002750A0" w:rsidRDefault="002750A0" w:rsidP="002750A0">
      <w:pPr>
        <w:jc w:val="both"/>
        <w:rPr>
          <w:rFonts w:ascii="Times New Roman" w:hAnsi="Times New Roman" w:cs="Times New Roman"/>
        </w:rPr>
      </w:pPr>
    </w:p>
    <w:p w14:paraId="62F42FAD" w14:textId="77777777" w:rsidR="00FA2181" w:rsidRDefault="00FA2181" w:rsidP="00FA2181">
      <w:pPr>
        <w:pStyle w:val="ListParagraph"/>
        <w:numPr>
          <w:ilvl w:val="0"/>
          <w:numId w:val="8"/>
        </w:numPr>
        <w:jc w:val="both"/>
        <w:rPr>
          <w:rFonts w:ascii="Times New Roman" w:hAnsi="Times New Roman" w:cs="Times New Roman"/>
        </w:rPr>
      </w:pPr>
      <w:r w:rsidRPr="00EB222F">
        <w:rPr>
          <w:rFonts w:ascii="Times New Roman" w:hAnsi="Times New Roman" w:cs="Times New Roman"/>
        </w:rPr>
        <w:t xml:space="preserve">Is judicial training in international family </w:t>
      </w:r>
      <w:r w:rsidRPr="005B185B">
        <w:rPr>
          <w:rFonts w:ascii="Times New Roman" w:hAnsi="Times New Roman" w:cs="Times New Roman"/>
        </w:rPr>
        <w:t>matters</w:t>
      </w:r>
      <w:r w:rsidRPr="00EB222F">
        <w:rPr>
          <w:rFonts w:ascii="Times New Roman" w:hAnsi="Times New Roman" w:cs="Times New Roman"/>
        </w:rPr>
        <w:t xml:space="preserve"> contributing to better understanding, interpretation and uniform application of EU </w:t>
      </w:r>
      <w:r>
        <w:rPr>
          <w:rFonts w:ascii="Times New Roman" w:hAnsi="Times New Roman" w:cs="Times New Roman"/>
        </w:rPr>
        <w:t>R</w:t>
      </w:r>
      <w:r w:rsidRPr="00EB222F">
        <w:rPr>
          <w:rFonts w:ascii="Times New Roman" w:hAnsi="Times New Roman" w:cs="Times New Roman"/>
        </w:rPr>
        <w:t>egulation</w:t>
      </w:r>
      <w:r>
        <w:rPr>
          <w:rFonts w:ascii="Times New Roman" w:hAnsi="Times New Roman" w:cs="Times New Roman"/>
        </w:rPr>
        <w:t>s and/or</w:t>
      </w:r>
      <w:r w:rsidRPr="00EB222F">
        <w:rPr>
          <w:rFonts w:ascii="Times New Roman" w:hAnsi="Times New Roman" w:cs="Times New Roman"/>
        </w:rPr>
        <w:t xml:space="preserve"> Hague </w:t>
      </w:r>
      <w:r>
        <w:rPr>
          <w:rFonts w:ascii="Times New Roman" w:hAnsi="Times New Roman" w:cs="Times New Roman"/>
        </w:rPr>
        <w:t>C</w:t>
      </w:r>
      <w:r w:rsidRPr="00EB222F">
        <w:rPr>
          <w:rFonts w:ascii="Times New Roman" w:hAnsi="Times New Roman" w:cs="Times New Roman"/>
        </w:rPr>
        <w:t>onvention</w:t>
      </w:r>
      <w:r>
        <w:rPr>
          <w:rFonts w:ascii="Times New Roman" w:hAnsi="Times New Roman" w:cs="Times New Roman"/>
        </w:rPr>
        <w:t>s</w:t>
      </w:r>
      <w:r w:rsidRPr="00EB222F">
        <w:rPr>
          <w:rFonts w:ascii="Times New Roman" w:hAnsi="Times New Roman" w:cs="Times New Roman"/>
        </w:rPr>
        <w:t xml:space="preserve"> listed above? </w:t>
      </w:r>
    </w:p>
    <w:p w14:paraId="0BBC4E98" w14:textId="5E3B0D7D" w:rsidR="002750A0" w:rsidRDefault="002750A0" w:rsidP="002750A0">
      <w:pPr>
        <w:jc w:val="both"/>
        <w:rPr>
          <w:rFonts w:ascii="Times New Roman" w:hAnsi="Times New Roman" w:cs="Times New Roman"/>
          <w:color w:val="7030A0"/>
        </w:rPr>
      </w:pPr>
      <w:r w:rsidRPr="002750A0">
        <w:rPr>
          <w:rFonts w:ascii="Times New Roman" w:hAnsi="Times New Roman" w:cs="Times New Roman"/>
          <w:color w:val="7030A0"/>
        </w:rPr>
        <w:t xml:space="preserve">I have no information on this. </w:t>
      </w:r>
    </w:p>
    <w:p w14:paraId="6F6FAA3A" w14:textId="77777777" w:rsidR="002750A0" w:rsidRPr="002750A0" w:rsidRDefault="002750A0" w:rsidP="002750A0">
      <w:pPr>
        <w:jc w:val="both"/>
        <w:rPr>
          <w:rFonts w:ascii="Times New Roman" w:hAnsi="Times New Roman" w:cs="Times New Roman"/>
          <w:color w:val="7030A0"/>
        </w:rPr>
      </w:pPr>
    </w:p>
    <w:p w14:paraId="4CD5EBF8" w14:textId="35AC441F" w:rsidR="00FA2181" w:rsidRDefault="00FA2181" w:rsidP="00FA2181">
      <w:pPr>
        <w:pStyle w:val="ListParagraph"/>
        <w:numPr>
          <w:ilvl w:val="0"/>
          <w:numId w:val="8"/>
        </w:numPr>
        <w:jc w:val="both"/>
        <w:rPr>
          <w:rFonts w:ascii="Times New Roman" w:hAnsi="Times New Roman" w:cs="Times New Roman"/>
        </w:rPr>
      </w:pPr>
      <w:r>
        <w:rPr>
          <w:rFonts w:ascii="Times New Roman" w:hAnsi="Times New Roman" w:cs="Times New Roman"/>
        </w:rPr>
        <w:t>Is</w:t>
      </w:r>
      <w:r w:rsidRPr="00EB222F">
        <w:rPr>
          <w:rFonts w:ascii="Times New Roman" w:hAnsi="Times New Roman" w:cs="Times New Roman"/>
        </w:rPr>
        <w:t xml:space="preserve"> information on </w:t>
      </w:r>
      <w:r>
        <w:rPr>
          <w:rFonts w:ascii="Times New Roman" w:hAnsi="Times New Roman" w:cs="Times New Roman"/>
        </w:rPr>
        <w:t>the Hague C</w:t>
      </w:r>
      <w:r w:rsidRPr="00EB222F">
        <w:rPr>
          <w:rFonts w:ascii="Times New Roman" w:hAnsi="Times New Roman" w:cs="Times New Roman"/>
        </w:rPr>
        <w:t xml:space="preserve">onventions listed above accessible to judges and other </w:t>
      </w:r>
      <w:r>
        <w:rPr>
          <w:rFonts w:ascii="Times New Roman" w:hAnsi="Times New Roman" w:cs="Times New Roman"/>
        </w:rPr>
        <w:t xml:space="preserve">relevant </w:t>
      </w:r>
      <w:r w:rsidRPr="00EB222F">
        <w:rPr>
          <w:rFonts w:ascii="Times New Roman" w:hAnsi="Times New Roman" w:cs="Times New Roman"/>
        </w:rPr>
        <w:t>officials in your country</w:t>
      </w:r>
      <w:r>
        <w:rPr>
          <w:rFonts w:ascii="Times New Roman" w:hAnsi="Times New Roman" w:cs="Times New Roman"/>
        </w:rPr>
        <w:t>?</w:t>
      </w:r>
      <w:r w:rsidRPr="00EB222F">
        <w:rPr>
          <w:rFonts w:ascii="Times New Roman" w:hAnsi="Times New Roman" w:cs="Times New Roman"/>
        </w:rPr>
        <w:t xml:space="preserve"> </w:t>
      </w:r>
      <w:r>
        <w:rPr>
          <w:rFonts w:ascii="Times New Roman" w:hAnsi="Times New Roman" w:cs="Times New Roman"/>
        </w:rPr>
        <w:t>For example, is</w:t>
      </w:r>
      <w:r w:rsidRPr="00EB222F">
        <w:rPr>
          <w:rFonts w:ascii="Times New Roman" w:hAnsi="Times New Roman" w:cs="Times New Roman"/>
        </w:rPr>
        <w:t xml:space="preserve"> the information available to them in their language, and do they possess skills to find the information in the digital format from reliable online sources?  </w:t>
      </w:r>
    </w:p>
    <w:p w14:paraId="7378E9ED" w14:textId="77777777" w:rsidR="002750A0" w:rsidRPr="002750A0" w:rsidRDefault="002750A0" w:rsidP="002750A0">
      <w:pPr>
        <w:jc w:val="both"/>
        <w:rPr>
          <w:rFonts w:ascii="Times New Roman" w:hAnsi="Times New Roman" w:cs="Times New Roman"/>
          <w:color w:val="7030A0"/>
        </w:rPr>
      </w:pPr>
      <w:r w:rsidRPr="002750A0">
        <w:rPr>
          <w:rFonts w:ascii="Times New Roman" w:hAnsi="Times New Roman" w:cs="Times New Roman"/>
          <w:color w:val="7030A0"/>
        </w:rPr>
        <w:lastRenderedPageBreak/>
        <w:t xml:space="preserve">I have no information on this. </w:t>
      </w:r>
    </w:p>
    <w:p w14:paraId="6E47E35D" w14:textId="77777777" w:rsidR="002750A0" w:rsidRPr="002750A0" w:rsidRDefault="002750A0" w:rsidP="002750A0">
      <w:pPr>
        <w:jc w:val="both"/>
        <w:rPr>
          <w:rFonts w:ascii="Times New Roman" w:hAnsi="Times New Roman" w:cs="Times New Roman"/>
        </w:rPr>
      </w:pPr>
    </w:p>
    <w:p w14:paraId="6035699E" w14:textId="616A30A7" w:rsidR="001D61EB" w:rsidRPr="00FA2181" w:rsidRDefault="00411A3C" w:rsidP="00FA2181">
      <w:pPr>
        <w:jc w:val="both"/>
        <w:rPr>
          <w:rFonts w:ascii="Times New Roman" w:hAnsi="Times New Roman" w:cs="Times New Roman"/>
        </w:rPr>
      </w:pPr>
      <w:r w:rsidRPr="00FA2181">
        <w:rPr>
          <w:rFonts w:ascii="Times New Roman" w:hAnsi="Times New Roman" w:cs="Times New Roman"/>
        </w:rPr>
        <w:t xml:space="preserve"> </w:t>
      </w:r>
    </w:p>
    <w:sectPr w:rsidR="001D61EB" w:rsidRPr="00FA2181">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CC922" w14:textId="77777777" w:rsidR="00EB24C4" w:rsidRDefault="00EB24C4" w:rsidP="00EE2DF1">
      <w:pPr>
        <w:spacing w:after="0" w:line="240" w:lineRule="auto"/>
      </w:pPr>
      <w:r>
        <w:separator/>
      </w:r>
    </w:p>
  </w:endnote>
  <w:endnote w:type="continuationSeparator" w:id="0">
    <w:p w14:paraId="572E6F73" w14:textId="77777777" w:rsidR="00EB24C4" w:rsidRDefault="00EB24C4" w:rsidP="00EE2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2161186"/>
      <w:docPartObj>
        <w:docPartGallery w:val="Page Numbers (Bottom of Page)"/>
        <w:docPartUnique/>
      </w:docPartObj>
    </w:sdtPr>
    <w:sdtEndPr>
      <w:rPr>
        <w:color w:val="7F7F7F" w:themeColor="background1" w:themeShade="7F"/>
        <w:spacing w:val="60"/>
      </w:rPr>
    </w:sdtEndPr>
    <w:sdtContent>
      <w:p w14:paraId="3BFC470C" w14:textId="62DD6A6D" w:rsidR="00F408AF" w:rsidRDefault="00F408AF">
        <w:pPr>
          <w:pStyle w:val="Footer"/>
          <w:pBdr>
            <w:top w:val="single" w:sz="4" w:space="1" w:color="D9D9D9" w:themeColor="background1" w:themeShade="D9"/>
          </w:pBdr>
          <w:jc w:val="right"/>
        </w:pPr>
        <w:r>
          <w:fldChar w:fldCharType="begin"/>
        </w:r>
        <w:r>
          <w:instrText xml:space="preserve"> PAGE   \* MERGEFORMAT </w:instrText>
        </w:r>
        <w:r>
          <w:fldChar w:fldCharType="separate"/>
        </w:r>
        <w:r w:rsidR="00E30C1F">
          <w:rPr>
            <w:noProof/>
          </w:rPr>
          <w:t>7</w:t>
        </w:r>
        <w:r>
          <w:rPr>
            <w:noProof/>
          </w:rPr>
          <w:fldChar w:fldCharType="end"/>
        </w:r>
        <w:r>
          <w:t xml:space="preserve"> | </w:t>
        </w:r>
        <w:r>
          <w:rPr>
            <w:color w:val="7F7F7F" w:themeColor="background1" w:themeShade="7F"/>
            <w:spacing w:val="60"/>
          </w:rPr>
          <w:t>Page</w:t>
        </w:r>
      </w:p>
    </w:sdtContent>
  </w:sdt>
  <w:p w14:paraId="6FF53E8E" w14:textId="77777777" w:rsidR="00F408AF" w:rsidRDefault="00F408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8468F" w14:textId="77777777" w:rsidR="00EB24C4" w:rsidRDefault="00EB24C4" w:rsidP="00EE2DF1">
      <w:pPr>
        <w:spacing w:after="0" w:line="240" w:lineRule="auto"/>
      </w:pPr>
      <w:r>
        <w:separator/>
      </w:r>
    </w:p>
  </w:footnote>
  <w:footnote w:type="continuationSeparator" w:id="0">
    <w:p w14:paraId="759F0ABF" w14:textId="77777777" w:rsidR="00EB24C4" w:rsidRDefault="00EB24C4" w:rsidP="00EE2DF1">
      <w:pPr>
        <w:spacing w:after="0" w:line="240" w:lineRule="auto"/>
      </w:pPr>
      <w:r>
        <w:continuationSeparator/>
      </w:r>
    </w:p>
  </w:footnote>
  <w:footnote w:id="1">
    <w:p w14:paraId="167B79E6" w14:textId="0B357660" w:rsidR="003F0FED" w:rsidRDefault="003F0FED" w:rsidP="0088169E">
      <w:pPr>
        <w:pStyle w:val="FootnoteText"/>
      </w:pPr>
      <w:r>
        <w:rPr>
          <w:rStyle w:val="FootnoteReference"/>
        </w:rPr>
        <w:footnoteRef/>
      </w:r>
      <w:r>
        <w:t xml:space="preserve"> In particular, </w:t>
      </w:r>
      <w:r w:rsidR="0088169E" w:rsidRPr="0088169E">
        <w:rPr>
          <w:i/>
          <w:iCs/>
        </w:rPr>
        <w:t>Re D (A Child) (Abduction: Rights of Custody)</w:t>
      </w:r>
      <w:r w:rsidR="0088169E" w:rsidRPr="0088169E">
        <w:t xml:space="preserve"> [2006] UKHL 51</w:t>
      </w:r>
      <w:r w:rsidR="0088169E">
        <w:t xml:space="preserve">, </w:t>
      </w:r>
      <w:r w:rsidRPr="0088169E">
        <w:rPr>
          <w:i/>
          <w:iCs/>
        </w:rPr>
        <w:t>Re E</w:t>
      </w:r>
      <w:r w:rsidRPr="003F0FED">
        <w:t xml:space="preserve"> [2011] UKSC 27</w:t>
      </w:r>
      <w:r w:rsidR="0088169E">
        <w:t>,</w:t>
      </w:r>
      <w:r>
        <w:t xml:space="preserve"> and </w:t>
      </w:r>
      <w:r w:rsidRPr="0088169E">
        <w:rPr>
          <w:i/>
          <w:iCs/>
        </w:rPr>
        <w:t>Re S (A Child) (Abduction: Rights of</w:t>
      </w:r>
      <w:r w:rsidR="0088169E" w:rsidRPr="0088169E">
        <w:rPr>
          <w:i/>
          <w:iCs/>
        </w:rPr>
        <w:t xml:space="preserve"> </w:t>
      </w:r>
      <w:r w:rsidRPr="0088169E">
        <w:rPr>
          <w:i/>
          <w:iCs/>
        </w:rPr>
        <w:t xml:space="preserve">Custody) </w:t>
      </w:r>
      <w:r>
        <w:t>[2012] UKSC 10</w:t>
      </w:r>
      <w:r w:rsidR="0088169E">
        <w:t>.</w:t>
      </w:r>
    </w:p>
  </w:footnote>
  <w:footnote w:id="2">
    <w:p w14:paraId="60C083E7" w14:textId="015ECF2E" w:rsidR="00333568" w:rsidRDefault="00333568">
      <w:pPr>
        <w:pStyle w:val="FootnoteText"/>
      </w:pPr>
      <w:r>
        <w:rPr>
          <w:rStyle w:val="FootnoteReference"/>
        </w:rPr>
        <w:footnoteRef/>
      </w:r>
      <w:r>
        <w:t xml:space="preserve"> </w:t>
      </w:r>
      <w:r>
        <w:t xml:space="preserve">In particular, </w:t>
      </w:r>
      <w:r w:rsidRPr="00333568">
        <w:rPr>
          <w:i/>
          <w:iCs/>
        </w:rPr>
        <w:t>X v Latvia</w:t>
      </w:r>
      <w:r>
        <w:t xml:space="preserve"> </w:t>
      </w:r>
      <w:r w:rsidRPr="00333568">
        <w:t>Application no. 27853/09, Grand Chamber [2013].</w:t>
      </w:r>
    </w:p>
  </w:footnote>
  <w:footnote w:id="3">
    <w:p w14:paraId="46E7B13B" w14:textId="42B6EF18" w:rsidR="00002E77" w:rsidRDefault="00002E77" w:rsidP="00002E77">
      <w:pPr>
        <w:pStyle w:val="FootnoteText"/>
        <w:jc w:val="both"/>
      </w:pPr>
      <w:r>
        <w:rPr>
          <w:rStyle w:val="FootnoteReference"/>
        </w:rPr>
        <w:footnoteRef/>
      </w:r>
      <w:r>
        <w:t xml:space="preserve"> </w:t>
      </w:r>
      <w:r w:rsidRPr="00002E77">
        <w:t>Council Regulation (EU) 2019/1111 of 25 June 2019 on jurisdiction, the recognition and enforcement of decisions in matrimonial matters and the matters of parental responsibility, and on international child abduction</w:t>
      </w:r>
      <w:r>
        <w:t>, Article 2</w:t>
      </w:r>
      <w:r w:rsidR="00401457">
        <w:t>7</w:t>
      </w:r>
      <w:r>
        <w:t>.</w:t>
      </w:r>
    </w:p>
  </w:footnote>
  <w:footnote w:id="4">
    <w:p w14:paraId="40B36115" w14:textId="2403EE38" w:rsidR="00002E77" w:rsidRDefault="00002E77" w:rsidP="00401457">
      <w:pPr>
        <w:pStyle w:val="FootnoteText"/>
        <w:jc w:val="both"/>
      </w:pPr>
      <w:r>
        <w:rPr>
          <w:rStyle w:val="FootnoteReference"/>
        </w:rPr>
        <w:footnoteRef/>
      </w:r>
      <w:r>
        <w:t xml:space="preserve"> </w:t>
      </w:r>
      <w:r w:rsidRPr="00002E77">
        <w:t>Council Regulation (EU) 2019/1111 of 25 June 2019 on jurisdiction, the recognition and enforcement of decisions in matrimonial matters and the matters of parental responsibility, and on international child abduction</w:t>
      </w:r>
      <w:r>
        <w:t>, Article 29.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E66A3"/>
    <w:multiLevelType w:val="hybridMultilevel"/>
    <w:tmpl w:val="4C3C0A4A"/>
    <w:lvl w:ilvl="0" w:tplc="27AE81E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DF5696"/>
    <w:multiLevelType w:val="hybridMultilevel"/>
    <w:tmpl w:val="9E2EE9BA"/>
    <w:lvl w:ilvl="0" w:tplc="524E13BE">
      <w:start w:val="1"/>
      <w:numFmt w:val="upperLetter"/>
      <w:lvlText w:val="%1."/>
      <w:lvlJc w:val="left"/>
      <w:pPr>
        <w:ind w:left="785"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9E8033E"/>
    <w:multiLevelType w:val="hybridMultilevel"/>
    <w:tmpl w:val="4934C74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E9F7D7A"/>
    <w:multiLevelType w:val="hybridMultilevel"/>
    <w:tmpl w:val="5846F702"/>
    <w:lvl w:ilvl="0" w:tplc="0809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FAD6175"/>
    <w:multiLevelType w:val="hybridMultilevel"/>
    <w:tmpl w:val="295C2C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DF63C1"/>
    <w:multiLevelType w:val="hybridMultilevel"/>
    <w:tmpl w:val="E55EDED6"/>
    <w:lvl w:ilvl="0" w:tplc="E3DC0E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855E9A"/>
    <w:multiLevelType w:val="hybridMultilevel"/>
    <w:tmpl w:val="415854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8324A33"/>
    <w:multiLevelType w:val="hybridMultilevel"/>
    <w:tmpl w:val="89F4C57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B63B23"/>
    <w:multiLevelType w:val="hybridMultilevel"/>
    <w:tmpl w:val="41585480"/>
    <w:lvl w:ilvl="0" w:tplc="64B012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B61BDD"/>
    <w:multiLevelType w:val="hybridMultilevel"/>
    <w:tmpl w:val="964A0D70"/>
    <w:lvl w:ilvl="0" w:tplc="472CEFE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62398D"/>
    <w:multiLevelType w:val="hybridMultilevel"/>
    <w:tmpl w:val="F06CE3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7D4183"/>
    <w:multiLevelType w:val="hybridMultilevel"/>
    <w:tmpl w:val="F02C83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CC05B4A"/>
    <w:multiLevelType w:val="multilevel"/>
    <w:tmpl w:val="C6C64C1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4D4C25BF"/>
    <w:multiLevelType w:val="hybridMultilevel"/>
    <w:tmpl w:val="4934C74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678140F"/>
    <w:multiLevelType w:val="hybridMultilevel"/>
    <w:tmpl w:val="A7FABA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88B115D"/>
    <w:multiLevelType w:val="hybridMultilevel"/>
    <w:tmpl w:val="5718BFD4"/>
    <w:lvl w:ilvl="0" w:tplc="EFA418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B9245EF"/>
    <w:multiLevelType w:val="hybridMultilevel"/>
    <w:tmpl w:val="415854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1357AA8"/>
    <w:multiLevelType w:val="hybridMultilevel"/>
    <w:tmpl w:val="D80E2E00"/>
    <w:lvl w:ilvl="0" w:tplc="08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8AE2DF2"/>
    <w:multiLevelType w:val="hybridMultilevel"/>
    <w:tmpl w:val="1BBC57A0"/>
    <w:lvl w:ilvl="0" w:tplc="1ABAD14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BFF260B"/>
    <w:multiLevelType w:val="hybridMultilevel"/>
    <w:tmpl w:val="D2886B38"/>
    <w:lvl w:ilvl="0" w:tplc="001EC7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1578837">
    <w:abstractNumId w:val="9"/>
  </w:num>
  <w:num w:numId="2" w16cid:durableId="1993679075">
    <w:abstractNumId w:val="2"/>
  </w:num>
  <w:num w:numId="3" w16cid:durableId="2049337707">
    <w:abstractNumId w:val="13"/>
  </w:num>
  <w:num w:numId="4" w16cid:durableId="1318267746">
    <w:abstractNumId w:val="18"/>
  </w:num>
  <w:num w:numId="5" w16cid:durableId="1978684234">
    <w:abstractNumId w:val="17"/>
  </w:num>
  <w:num w:numId="6" w16cid:durableId="374938609">
    <w:abstractNumId w:val="7"/>
  </w:num>
  <w:num w:numId="7" w16cid:durableId="266349278">
    <w:abstractNumId w:val="5"/>
  </w:num>
  <w:num w:numId="8" w16cid:durableId="1349915081">
    <w:abstractNumId w:val="8"/>
  </w:num>
  <w:num w:numId="9" w16cid:durableId="1501040936">
    <w:abstractNumId w:val="16"/>
  </w:num>
  <w:num w:numId="10" w16cid:durableId="1733503409">
    <w:abstractNumId w:val="11"/>
  </w:num>
  <w:num w:numId="11" w16cid:durableId="1336693031">
    <w:abstractNumId w:val="0"/>
  </w:num>
  <w:num w:numId="12" w16cid:durableId="1478720759">
    <w:abstractNumId w:val="1"/>
  </w:num>
  <w:num w:numId="13" w16cid:durableId="739795424">
    <w:abstractNumId w:val="14"/>
  </w:num>
  <w:num w:numId="14" w16cid:durableId="21781738">
    <w:abstractNumId w:val="6"/>
  </w:num>
  <w:num w:numId="15" w16cid:durableId="1198812177">
    <w:abstractNumId w:val="19"/>
  </w:num>
  <w:num w:numId="16" w16cid:durableId="1123227986">
    <w:abstractNumId w:val="3"/>
  </w:num>
  <w:num w:numId="17" w16cid:durableId="287589958">
    <w:abstractNumId w:val="12"/>
  </w:num>
  <w:num w:numId="18" w16cid:durableId="213011858">
    <w:abstractNumId w:val="4"/>
  </w:num>
  <w:num w:numId="19" w16cid:durableId="1968507913">
    <w:abstractNumId w:val="10"/>
  </w:num>
  <w:num w:numId="20" w16cid:durableId="108927455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785C"/>
    <w:rsid w:val="00002E77"/>
    <w:rsid w:val="00003790"/>
    <w:rsid w:val="00005384"/>
    <w:rsid w:val="00005B89"/>
    <w:rsid w:val="00006987"/>
    <w:rsid w:val="00006D8B"/>
    <w:rsid w:val="00013895"/>
    <w:rsid w:val="000217DE"/>
    <w:rsid w:val="00021CEC"/>
    <w:rsid w:val="00022F9A"/>
    <w:rsid w:val="000257F6"/>
    <w:rsid w:val="00034287"/>
    <w:rsid w:val="00034E1D"/>
    <w:rsid w:val="000358E4"/>
    <w:rsid w:val="00037567"/>
    <w:rsid w:val="00037FF2"/>
    <w:rsid w:val="000437DA"/>
    <w:rsid w:val="000445F7"/>
    <w:rsid w:val="00044689"/>
    <w:rsid w:val="000472D0"/>
    <w:rsid w:val="000504A2"/>
    <w:rsid w:val="000508F4"/>
    <w:rsid w:val="000565DA"/>
    <w:rsid w:val="00061CC3"/>
    <w:rsid w:val="0006273A"/>
    <w:rsid w:val="00063C14"/>
    <w:rsid w:val="000760B5"/>
    <w:rsid w:val="00083D9D"/>
    <w:rsid w:val="00086E8B"/>
    <w:rsid w:val="00096E09"/>
    <w:rsid w:val="000977BB"/>
    <w:rsid w:val="000A0FE0"/>
    <w:rsid w:val="000A208E"/>
    <w:rsid w:val="000A28F1"/>
    <w:rsid w:val="000B188A"/>
    <w:rsid w:val="000B4263"/>
    <w:rsid w:val="000B6453"/>
    <w:rsid w:val="000B6F6D"/>
    <w:rsid w:val="000C3269"/>
    <w:rsid w:val="000C3D24"/>
    <w:rsid w:val="000C43A9"/>
    <w:rsid w:val="000C7018"/>
    <w:rsid w:val="000D679B"/>
    <w:rsid w:val="000E0B1A"/>
    <w:rsid w:val="000E0D84"/>
    <w:rsid w:val="000E1398"/>
    <w:rsid w:val="000E62DF"/>
    <w:rsid w:val="000E77E1"/>
    <w:rsid w:val="000E7B0A"/>
    <w:rsid w:val="000E7F0A"/>
    <w:rsid w:val="000E7F6D"/>
    <w:rsid w:val="000F785C"/>
    <w:rsid w:val="00100F83"/>
    <w:rsid w:val="0010538B"/>
    <w:rsid w:val="00110BB7"/>
    <w:rsid w:val="001117DD"/>
    <w:rsid w:val="00117147"/>
    <w:rsid w:val="001177A6"/>
    <w:rsid w:val="0012251C"/>
    <w:rsid w:val="00124677"/>
    <w:rsid w:val="0012712B"/>
    <w:rsid w:val="0013105D"/>
    <w:rsid w:val="0013182E"/>
    <w:rsid w:val="0013383E"/>
    <w:rsid w:val="00134320"/>
    <w:rsid w:val="001416D7"/>
    <w:rsid w:val="0014371D"/>
    <w:rsid w:val="00143971"/>
    <w:rsid w:val="0015108A"/>
    <w:rsid w:val="0015319E"/>
    <w:rsid w:val="001636B4"/>
    <w:rsid w:val="00163A4C"/>
    <w:rsid w:val="001644D1"/>
    <w:rsid w:val="00172AF9"/>
    <w:rsid w:val="00174012"/>
    <w:rsid w:val="00174F47"/>
    <w:rsid w:val="00180F47"/>
    <w:rsid w:val="00186BF6"/>
    <w:rsid w:val="00187ADB"/>
    <w:rsid w:val="0019247C"/>
    <w:rsid w:val="001947CB"/>
    <w:rsid w:val="001A00A3"/>
    <w:rsid w:val="001A01FF"/>
    <w:rsid w:val="001A5CB2"/>
    <w:rsid w:val="001A6B5A"/>
    <w:rsid w:val="001A799D"/>
    <w:rsid w:val="001B1849"/>
    <w:rsid w:val="001B2AFE"/>
    <w:rsid w:val="001B75CE"/>
    <w:rsid w:val="001B7AB1"/>
    <w:rsid w:val="001C132B"/>
    <w:rsid w:val="001C21BC"/>
    <w:rsid w:val="001C3C54"/>
    <w:rsid w:val="001C4F3A"/>
    <w:rsid w:val="001C75B4"/>
    <w:rsid w:val="001D03A7"/>
    <w:rsid w:val="001D4DEC"/>
    <w:rsid w:val="001D5245"/>
    <w:rsid w:val="001D61EB"/>
    <w:rsid w:val="001D6C0A"/>
    <w:rsid w:val="001E370A"/>
    <w:rsid w:val="001E72F3"/>
    <w:rsid w:val="001F0A48"/>
    <w:rsid w:val="001F1F11"/>
    <w:rsid w:val="001F4BC7"/>
    <w:rsid w:val="001F4C0B"/>
    <w:rsid w:val="001F6223"/>
    <w:rsid w:val="001F66D5"/>
    <w:rsid w:val="001F6713"/>
    <w:rsid w:val="00200245"/>
    <w:rsid w:val="00201B5F"/>
    <w:rsid w:val="002045B3"/>
    <w:rsid w:val="00212020"/>
    <w:rsid w:val="00212789"/>
    <w:rsid w:val="00212913"/>
    <w:rsid w:val="002142DA"/>
    <w:rsid w:val="0022124F"/>
    <w:rsid w:val="00222547"/>
    <w:rsid w:val="002257BB"/>
    <w:rsid w:val="0023465A"/>
    <w:rsid w:val="0023605C"/>
    <w:rsid w:val="00236797"/>
    <w:rsid w:val="00240E5C"/>
    <w:rsid w:val="00241AF9"/>
    <w:rsid w:val="00244478"/>
    <w:rsid w:val="00245FBD"/>
    <w:rsid w:val="00246C02"/>
    <w:rsid w:val="00247062"/>
    <w:rsid w:val="002470FC"/>
    <w:rsid w:val="00255BDD"/>
    <w:rsid w:val="00256759"/>
    <w:rsid w:val="002607BC"/>
    <w:rsid w:val="00262426"/>
    <w:rsid w:val="00272370"/>
    <w:rsid w:val="00273655"/>
    <w:rsid w:val="002747FB"/>
    <w:rsid w:val="00274A8B"/>
    <w:rsid w:val="00274BEA"/>
    <w:rsid w:val="002750A0"/>
    <w:rsid w:val="00277769"/>
    <w:rsid w:val="0028052B"/>
    <w:rsid w:val="00283BCB"/>
    <w:rsid w:val="0029211A"/>
    <w:rsid w:val="002974C5"/>
    <w:rsid w:val="0029767E"/>
    <w:rsid w:val="002A02C5"/>
    <w:rsid w:val="002A1AD6"/>
    <w:rsid w:val="002A26BA"/>
    <w:rsid w:val="002A5A31"/>
    <w:rsid w:val="002A7EED"/>
    <w:rsid w:val="002B1166"/>
    <w:rsid w:val="002B1625"/>
    <w:rsid w:val="002B3F8D"/>
    <w:rsid w:val="002B4C5F"/>
    <w:rsid w:val="002B5446"/>
    <w:rsid w:val="002B5E8A"/>
    <w:rsid w:val="002B7685"/>
    <w:rsid w:val="002B7C53"/>
    <w:rsid w:val="002C2F42"/>
    <w:rsid w:val="002C3293"/>
    <w:rsid w:val="002D39C9"/>
    <w:rsid w:val="002E653A"/>
    <w:rsid w:val="002E739D"/>
    <w:rsid w:val="002F2051"/>
    <w:rsid w:val="002F5324"/>
    <w:rsid w:val="003007C3"/>
    <w:rsid w:val="00301F84"/>
    <w:rsid w:val="0030634C"/>
    <w:rsid w:val="003067FE"/>
    <w:rsid w:val="00311EDB"/>
    <w:rsid w:val="00312D13"/>
    <w:rsid w:val="003173A9"/>
    <w:rsid w:val="0032590E"/>
    <w:rsid w:val="0032632B"/>
    <w:rsid w:val="0033068D"/>
    <w:rsid w:val="003314F8"/>
    <w:rsid w:val="00333568"/>
    <w:rsid w:val="003336AA"/>
    <w:rsid w:val="00334962"/>
    <w:rsid w:val="00335C39"/>
    <w:rsid w:val="003376F0"/>
    <w:rsid w:val="003378BF"/>
    <w:rsid w:val="00341674"/>
    <w:rsid w:val="0034190F"/>
    <w:rsid w:val="00345329"/>
    <w:rsid w:val="003503A9"/>
    <w:rsid w:val="0035158F"/>
    <w:rsid w:val="00351F6D"/>
    <w:rsid w:val="00354DA4"/>
    <w:rsid w:val="00356C54"/>
    <w:rsid w:val="003626BB"/>
    <w:rsid w:val="00362DB6"/>
    <w:rsid w:val="003643C5"/>
    <w:rsid w:val="00373F99"/>
    <w:rsid w:val="00375536"/>
    <w:rsid w:val="00375DF6"/>
    <w:rsid w:val="003771C5"/>
    <w:rsid w:val="003839DB"/>
    <w:rsid w:val="00383DF1"/>
    <w:rsid w:val="00387620"/>
    <w:rsid w:val="003923FA"/>
    <w:rsid w:val="003930F6"/>
    <w:rsid w:val="0039347C"/>
    <w:rsid w:val="00393EDA"/>
    <w:rsid w:val="00394851"/>
    <w:rsid w:val="0039705F"/>
    <w:rsid w:val="003A06F8"/>
    <w:rsid w:val="003A22E7"/>
    <w:rsid w:val="003B05B3"/>
    <w:rsid w:val="003B1E76"/>
    <w:rsid w:val="003B29BC"/>
    <w:rsid w:val="003B2C2A"/>
    <w:rsid w:val="003B4355"/>
    <w:rsid w:val="003B7133"/>
    <w:rsid w:val="003C47B6"/>
    <w:rsid w:val="003C6C15"/>
    <w:rsid w:val="003D0DAC"/>
    <w:rsid w:val="003D0EF8"/>
    <w:rsid w:val="003D1243"/>
    <w:rsid w:val="003D7CD4"/>
    <w:rsid w:val="003E4BAF"/>
    <w:rsid w:val="003E6D38"/>
    <w:rsid w:val="003E724A"/>
    <w:rsid w:val="003F06AA"/>
    <w:rsid w:val="003F0DE2"/>
    <w:rsid w:val="003F0FED"/>
    <w:rsid w:val="003F1C58"/>
    <w:rsid w:val="003F2CEB"/>
    <w:rsid w:val="003F7EEB"/>
    <w:rsid w:val="00401457"/>
    <w:rsid w:val="00401D87"/>
    <w:rsid w:val="0040263F"/>
    <w:rsid w:val="00403A5E"/>
    <w:rsid w:val="00403DE3"/>
    <w:rsid w:val="004072A6"/>
    <w:rsid w:val="00410691"/>
    <w:rsid w:val="00411A3C"/>
    <w:rsid w:val="00412A08"/>
    <w:rsid w:val="00415F99"/>
    <w:rsid w:val="00421D79"/>
    <w:rsid w:val="004250BD"/>
    <w:rsid w:val="00426AB9"/>
    <w:rsid w:val="00427FE2"/>
    <w:rsid w:val="004303C6"/>
    <w:rsid w:val="00430418"/>
    <w:rsid w:val="00430740"/>
    <w:rsid w:val="00430898"/>
    <w:rsid w:val="00431C12"/>
    <w:rsid w:val="0043433F"/>
    <w:rsid w:val="00434754"/>
    <w:rsid w:val="00436551"/>
    <w:rsid w:val="00436A65"/>
    <w:rsid w:val="00440A65"/>
    <w:rsid w:val="0044214A"/>
    <w:rsid w:val="00442301"/>
    <w:rsid w:val="0044362A"/>
    <w:rsid w:val="004466D4"/>
    <w:rsid w:val="00446EB7"/>
    <w:rsid w:val="004470BD"/>
    <w:rsid w:val="00451D5B"/>
    <w:rsid w:val="00455A16"/>
    <w:rsid w:val="00460D6F"/>
    <w:rsid w:val="00463E05"/>
    <w:rsid w:val="00464835"/>
    <w:rsid w:val="00464960"/>
    <w:rsid w:val="00470A2F"/>
    <w:rsid w:val="00471A2E"/>
    <w:rsid w:val="00471BE0"/>
    <w:rsid w:val="00483EDA"/>
    <w:rsid w:val="004871FB"/>
    <w:rsid w:val="0049011C"/>
    <w:rsid w:val="004918BF"/>
    <w:rsid w:val="0049217D"/>
    <w:rsid w:val="0049264D"/>
    <w:rsid w:val="0049367B"/>
    <w:rsid w:val="00494155"/>
    <w:rsid w:val="004942CE"/>
    <w:rsid w:val="00494D4E"/>
    <w:rsid w:val="0049595D"/>
    <w:rsid w:val="004A18ED"/>
    <w:rsid w:val="004A2BEE"/>
    <w:rsid w:val="004A302C"/>
    <w:rsid w:val="004A51FD"/>
    <w:rsid w:val="004B5029"/>
    <w:rsid w:val="004B5C03"/>
    <w:rsid w:val="004B7F50"/>
    <w:rsid w:val="004C440E"/>
    <w:rsid w:val="004C5920"/>
    <w:rsid w:val="004D0E36"/>
    <w:rsid w:val="004D412C"/>
    <w:rsid w:val="004E01DA"/>
    <w:rsid w:val="004E440D"/>
    <w:rsid w:val="004E786C"/>
    <w:rsid w:val="004F1407"/>
    <w:rsid w:val="004F420C"/>
    <w:rsid w:val="00512E9F"/>
    <w:rsid w:val="00515B03"/>
    <w:rsid w:val="00515EEE"/>
    <w:rsid w:val="00516A6E"/>
    <w:rsid w:val="00517369"/>
    <w:rsid w:val="00521B22"/>
    <w:rsid w:val="00523E55"/>
    <w:rsid w:val="00527BAD"/>
    <w:rsid w:val="00530284"/>
    <w:rsid w:val="005304CF"/>
    <w:rsid w:val="005304D0"/>
    <w:rsid w:val="0053170C"/>
    <w:rsid w:val="00532ACA"/>
    <w:rsid w:val="00535ACC"/>
    <w:rsid w:val="0053653D"/>
    <w:rsid w:val="00536C66"/>
    <w:rsid w:val="0053784C"/>
    <w:rsid w:val="0054113B"/>
    <w:rsid w:val="005411CB"/>
    <w:rsid w:val="00542605"/>
    <w:rsid w:val="0054318B"/>
    <w:rsid w:val="00547CB3"/>
    <w:rsid w:val="00552C40"/>
    <w:rsid w:val="00554802"/>
    <w:rsid w:val="00554EC0"/>
    <w:rsid w:val="00562BCA"/>
    <w:rsid w:val="0056523A"/>
    <w:rsid w:val="00565B5F"/>
    <w:rsid w:val="00570FE0"/>
    <w:rsid w:val="00572310"/>
    <w:rsid w:val="00572737"/>
    <w:rsid w:val="00574A8A"/>
    <w:rsid w:val="00574C6A"/>
    <w:rsid w:val="00575B74"/>
    <w:rsid w:val="0057656D"/>
    <w:rsid w:val="00577A28"/>
    <w:rsid w:val="00580E67"/>
    <w:rsid w:val="00583E42"/>
    <w:rsid w:val="005843D4"/>
    <w:rsid w:val="00585559"/>
    <w:rsid w:val="00586228"/>
    <w:rsid w:val="00586FBA"/>
    <w:rsid w:val="0059470B"/>
    <w:rsid w:val="00595457"/>
    <w:rsid w:val="005961D0"/>
    <w:rsid w:val="005A457A"/>
    <w:rsid w:val="005A4D56"/>
    <w:rsid w:val="005A60C9"/>
    <w:rsid w:val="005B193B"/>
    <w:rsid w:val="005C40F2"/>
    <w:rsid w:val="005D0B81"/>
    <w:rsid w:val="005D113D"/>
    <w:rsid w:val="005E7B1E"/>
    <w:rsid w:val="005F17A0"/>
    <w:rsid w:val="005F262E"/>
    <w:rsid w:val="005F4876"/>
    <w:rsid w:val="005F4F5C"/>
    <w:rsid w:val="00600C44"/>
    <w:rsid w:val="00602977"/>
    <w:rsid w:val="0060408F"/>
    <w:rsid w:val="00604D60"/>
    <w:rsid w:val="00616221"/>
    <w:rsid w:val="00624366"/>
    <w:rsid w:val="0063008D"/>
    <w:rsid w:val="00631269"/>
    <w:rsid w:val="006312EB"/>
    <w:rsid w:val="0063298E"/>
    <w:rsid w:val="0063657C"/>
    <w:rsid w:val="00640B8E"/>
    <w:rsid w:val="00645DF3"/>
    <w:rsid w:val="00651916"/>
    <w:rsid w:val="0065336E"/>
    <w:rsid w:val="00653CBC"/>
    <w:rsid w:val="006548D4"/>
    <w:rsid w:val="00660E0B"/>
    <w:rsid w:val="00661DEB"/>
    <w:rsid w:val="00666086"/>
    <w:rsid w:val="00672B1D"/>
    <w:rsid w:val="00673187"/>
    <w:rsid w:val="006745B6"/>
    <w:rsid w:val="00675843"/>
    <w:rsid w:val="00677B89"/>
    <w:rsid w:val="00683C37"/>
    <w:rsid w:val="0068763E"/>
    <w:rsid w:val="00687F97"/>
    <w:rsid w:val="006938D3"/>
    <w:rsid w:val="006A0FFA"/>
    <w:rsid w:val="006A166D"/>
    <w:rsid w:val="006A2AD6"/>
    <w:rsid w:val="006A2CAB"/>
    <w:rsid w:val="006A61BC"/>
    <w:rsid w:val="006B2706"/>
    <w:rsid w:val="006B4390"/>
    <w:rsid w:val="006B4EED"/>
    <w:rsid w:val="006C1687"/>
    <w:rsid w:val="006C1930"/>
    <w:rsid w:val="006C38B2"/>
    <w:rsid w:val="006C421A"/>
    <w:rsid w:val="006C49C3"/>
    <w:rsid w:val="006C671F"/>
    <w:rsid w:val="006D0909"/>
    <w:rsid w:val="006D0F60"/>
    <w:rsid w:val="006D37BE"/>
    <w:rsid w:val="006D5527"/>
    <w:rsid w:val="006E12EE"/>
    <w:rsid w:val="006E19FA"/>
    <w:rsid w:val="006E7CD2"/>
    <w:rsid w:val="00700F68"/>
    <w:rsid w:val="00701E8A"/>
    <w:rsid w:val="007026FB"/>
    <w:rsid w:val="00702DFD"/>
    <w:rsid w:val="00703592"/>
    <w:rsid w:val="007040DA"/>
    <w:rsid w:val="0070715C"/>
    <w:rsid w:val="0071081F"/>
    <w:rsid w:val="00713CCC"/>
    <w:rsid w:val="00716530"/>
    <w:rsid w:val="007206E5"/>
    <w:rsid w:val="00723D0F"/>
    <w:rsid w:val="0072539E"/>
    <w:rsid w:val="007263B2"/>
    <w:rsid w:val="00727472"/>
    <w:rsid w:val="00727BFC"/>
    <w:rsid w:val="00734CC5"/>
    <w:rsid w:val="00746504"/>
    <w:rsid w:val="00750DA4"/>
    <w:rsid w:val="00753099"/>
    <w:rsid w:val="00754DA7"/>
    <w:rsid w:val="00755903"/>
    <w:rsid w:val="00755C21"/>
    <w:rsid w:val="00760B25"/>
    <w:rsid w:val="007637B2"/>
    <w:rsid w:val="00764A3B"/>
    <w:rsid w:val="007704E3"/>
    <w:rsid w:val="007709A4"/>
    <w:rsid w:val="00772D54"/>
    <w:rsid w:val="00776373"/>
    <w:rsid w:val="00777210"/>
    <w:rsid w:val="00783A54"/>
    <w:rsid w:val="0078420B"/>
    <w:rsid w:val="00784B6E"/>
    <w:rsid w:val="007873B1"/>
    <w:rsid w:val="007907CD"/>
    <w:rsid w:val="00791EC4"/>
    <w:rsid w:val="007A0F36"/>
    <w:rsid w:val="007A17DD"/>
    <w:rsid w:val="007B11A8"/>
    <w:rsid w:val="007B222C"/>
    <w:rsid w:val="007B63E9"/>
    <w:rsid w:val="007B7184"/>
    <w:rsid w:val="007B7F2A"/>
    <w:rsid w:val="007C151D"/>
    <w:rsid w:val="007C18AF"/>
    <w:rsid w:val="007C4B79"/>
    <w:rsid w:val="007C7FB1"/>
    <w:rsid w:val="007D0570"/>
    <w:rsid w:val="007D1728"/>
    <w:rsid w:val="007D2FD8"/>
    <w:rsid w:val="007D2FEA"/>
    <w:rsid w:val="007D3745"/>
    <w:rsid w:val="007D58E2"/>
    <w:rsid w:val="007D723C"/>
    <w:rsid w:val="007D7E71"/>
    <w:rsid w:val="007E021E"/>
    <w:rsid w:val="007E4A42"/>
    <w:rsid w:val="007E7523"/>
    <w:rsid w:val="007E7FF1"/>
    <w:rsid w:val="007F266D"/>
    <w:rsid w:val="007F2E15"/>
    <w:rsid w:val="007F4066"/>
    <w:rsid w:val="007F471C"/>
    <w:rsid w:val="007F48D6"/>
    <w:rsid w:val="007F54C9"/>
    <w:rsid w:val="007F6AE2"/>
    <w:rsid w:val="0080069C"/>
    <w:rsid w:val="00800FFD"/>
    <w:rsid w:val="00805666"/>
    <w:rsid w:val="0080599B"/>
    <w:rsid w:val="00806199"/>
    <w:rsid w:val="00811D53"/>
    <w:rsid w:val="008132CA"/>
    <w:rsid w:val="00814E0B"/>
    <w:rsid w:val="0082156F"/>
    <w:rsid w:val="00821D26"/>
    <w:rsid w:val="008237BD"/>
    <w:rsid w:val="00827D55"/>
    <w:rsid w:val="00827E6C"/>
    <w:rsid w:val="008339CF"/>
    <w:rsid w:val="00833ED9"/>
    <w:rsid w:val="008362C4"/>
    <w:rsid w:val="00840B19"/>
    <w:rsid w:val="00840FFB"/>
    <w:rsid w:val="00842F05"/>
    <w:rsid w:val="00844451"/>
    <w:rsid w:val="0084506A"/>
    <w:rsid w:val="00847BA7"/>
    <w:rsid w:val="00851AD0"/>
    <w:rsid w:val="00852A01"/>
    <w:rsid w:val="008566E2"/>
    <w:rsid w:val="00856CBB"/>
    <w:rsid w:val="00856DC9"/>
    <w:rsid w:val="00857048"/>
    <w:rsid w:val="00866FE3"/>
    <w:rsid w:val="00867CCC"/>
    <w:rsid w:val="00871B4E"/>
    <w:rsid w:val="00872921"/>
    <w:rsid w:val="0087616E"/>
    <w:rsid w:val="00876659"/>
    <w:rsid w:val="00876920"/>
    <w:rsid w:val="00880FD3"/>
    <w:rsid w:val="0088169E"/>
    <w:rsid w:val="00884138"/>
    <w:rsid w:val="00884319"/>
    <w:rsid w:val="00893FF0"/>
    <w:rsid w:val="00895C1F"/>
    <w:rsid w:val="008968FE"/>
    <w:rsid w:val="00897209"/>
    <w:rsid w:val="00897DC4"/>
    <w:rsid w:val="008A76E4"/>
    <w:rsid w:val="008B378D"/>
    <w:rsid w:val="008C078B"/>
    <w:rsid w:val="008C184F"/>
    <w:rsid w:val="008C1ABA"/>
    <w:rsid w:val="008C268B"/>
    <w:rsid w:val="008C28D9"/>
    <w:rsid w:val="008C5DD5"/>
    <w:rsid w:val="008C75C9"/>
    <w:rsid w:val="008D1276"/>
    <w:rsid w:val="008D3E5A"/>
    <w:rsid w:val="008D5F42"/>
    <w:rsid w:val="008E2052"/>
    <w:rsid w:val="008E4B62"/>
    <w:rsid w:val="008E7C5B"/>
    <w:rsid w:val="008F0384"/>
    <w:rsid w:val="008F3216"/>
    <w:rsid w:val="008F340D"/>
    <w:rsid w:val="008F37E7"/>
    <w:rsid w:val="008F4F77"/>
    <w:rsid w:val="00900386"/>
    <w:rsid w:val="00904D69"/>
    <w:rsid w:val="00905232"/>
    <w:rsid w:val="00905847"/>
    <w:rsid w:val="0090675B"/>
    <w:rsid w:val="00906ECD"/>
    <w:rsid w:val="0090747A"/>
    <w:rsid w:val="00913065"/>
    <w:rsid w:val="00913EBC"/>
    <w:rsid w:val="00917066"/>
    <w:rsid w:val="00922F4C"/>
    <w:rsid w:val="00925AB8"/>
    <w:rsid w:val="00925F3C"/>
    <w:rsid w:val="00933E37"/>
    <w:rsid w:val="00934AB8"/>
    <w:rsid w:val="009365A8"/>
    <w:rsid w:val="00941592"/>
    <w:rsid w:val="009427F7"/>
    <w:rsid w:val="00945E11"/>
    <w:rsid w:val="00945EAA"/>
    <w:rsid w:val="009471AD"/>
    <w:rsid w:val="0094721C"/>
    <w:rsid w:val="00947DAC"/>
    <w:rsid w:val="00947FFA"/>
    <w:rsid w:val="0095022E"/>
    <w:rsid w:val="009509C1"/>
    <w:rsid w:val="00953384"/>
    <w:rsid w:val="00956596"/>
    <w:rsid w:val="00956D17"/>
    <w:rsid w:val="00957E75"/>
    <w:rsid w:val="00960451"/>
    <w:rsid w:val="009656B4"/>
    <w:rsid w:val="00967B7A"/>
    <w:rsid w:val="00971254"/>
    <w:rsid w:val="009736E4"/>
    <w:rsid w:val="00973BA1"/>
    <w:rsid w:val="00974322"/>
    <w:rsid w:val="0098065E"/>
    <w:rsid w:val="00981E93"/>
    <w:rsid w:val="0098344B"/>
    <w:rsid w:val="009835FF"/>
    <w:rsid w:val="009851C5"/>
    <w:rsid w:val="00990CC8"/>
    <w:rsid w:val="009923A4"/>
    <w:rsid w:val="00992EDB"/>
    <w:rsid w:val="009944AC"/>
    <w:rsid w:val="009949C6"/>
    <w:rsid w:val="00994F77"/>
    <w:rsid w:val="009A4E27"/>
    <w:rsid w:val="009B0433"/>
    <w:rsid w:val="009B04AC"/>
    <w:rsid w:val="009B0EEE"/>
    <w:rsid w:val="009B495A"/>
    <w:rsid w:val="009C1F68"/>
    <w:rsid w:val="009D1B01"/>
    <w:rsid w:val="009D7F98"/>
    <w:rsid w:val="009E293D"/>
    <w:rsid w:val="009F356B"/>
    <w:rsid w:val="009F42C4"/>
    <w:rsid w:val="009F4DE3"/>
    <w:rsid w:val="009F5190"/>
    <w:rsid w:val="009F599D"/>
    <w:rsid w:val="00A0054F"/>
    <w:rsid w:val="00A00B00"/>
    <w:rsid w:val="00A01298"/>
    <w:rsid w:val="00A014B3"/>
    <w:rsid w:val="00A02D30"/>
    <w:rsid w:val="00A033C4"/>
    <w:rsid w:val="00A038A6"/>
    <w:rsid w:val="00A04843"/>
    <w:rsid w:val="00A06351"/>
    <w:rsid w:val="00A071F9"/>
    <w:rsid w:val="00A07FF0"/>
    <w:rsid w:val="00A210CF"/>
    <w:rsid w:val="00A231EF"/>
    <w:rsid w:val="00A23BB1"/>
    <w:rsid w:val="00A262EB"/>
    <w:rsid w:val="00A32771"/>
    <w:rsid w:val="00A3661E"/>
    <w:rsid w:val="00A40301"/>
    <w:rsid w:val="00A422BC"/>
    <w:rsid w:val="00A4386A"/>
    <w:rsid w:val="00A50A5F"/>
    <w:rsid w:val="00A51F9B"/>
    <w:rsid w:val="00A52345"/>
    <w:rsid w:val="00A52761"/>
    <w:rsid w:val="00A5483D"/>
    <w:rsid w:val="00A54D30"/>
    <w:rsid w:val="00A56292"/>
    <w:rsid w:val="00A628E1"/>
    <w:rsid w:val="00A63301"/>
    <w:rsid w:val="00A635A6"/>
    <w:rsid w:val="00A72D04"/>
    <w:rsid w:val="00A74687"/>
    <w:rsid w:val="00A75D83"/>
    <w:rsid w:val="00A76A18"/>
    <w:rsid w:val="00A772FD"/>
    <w:rsid w:val="00A8051F"/>
    <w:rsid w:val="00A81A28"/>
    <w:rsid w:val="00A91F59"/>
    <w:rsid w:val="00A9760D"/>
    <w:rsid w:val="00AA151F"/>
    <w:rsid w:val="00AA359A"/>
    <w:rsid w:val="00AB01F4"/>
    <w:rsid w:val="00AB1A94"/>
    <w:rsid w:val="00AB47C4"/>
    <w:rsid w:val="00AB57F5"/>
    <w:rsid w:val="00AB5B46"/>
    <w:rsid w:val="00AB6D73"/>
    <w:rsid w:val="00AB7941"/>
    <w:rsid w:val="00AD1F93"/>
    <w:rsid w:val="00AD36A0"/>
    <w:rsid w:val="00AD4BA1"/>
    <w:rsid w:val="00AD52C9"/>
    <w:rsid w:val="00AD6182"/>
    <w:rsid w:val="00AE2163"/>
    <w:rsid w:val="00AE37EB"/>
    <w:rsid w:val="00AE430F"/>
    <w:rsid w:val="00AE50E7"/>
    <w:rsid w:val="00AE5FF6"/>
    <w:rsid w:val="00AE6708"/>
    <w:rsid w:val="00AF2FD0"/>
    <w:rsid w:val="00AF42A5"/>
    <w:rsid w:val="00AF4E89"/>
    <w:rsid w:val="00B06D71"/>
    <w:rsid w:val="00B13290"/>
    <w:rsid w:val="00B13572"/>
    <w:rsid w:val="00B16373"/>
    <w:rsid w:val="00B17959"/>
    <w:rsid w:val="00B201BB"/>
    <w:rsid w:val="00B22E4B"/>
    <w:rsid w:val="00B24A7F"/>
    <w:rsid w:val="00B270C9"/>
    <w:rsid w:val="00B3507D"/>
    <w:rsid w:val="00B41CA2"/>
    <w:rsid w:val="00B5346F"/>
    <w:rsid w:val="00B56CD6"/>
    <w:rsid w:val="00B57CDF"/>
    <w:rsid w:val="00B74FC2"/>
    <w:rsid w:val="00B75CE7"/>
    <w:rsid w:val="00B76F8E"/>
    <w:rsid w:val="00B80BC7"/>
    <w:rsid w:val="00B83A93"/>
    <w:rsid w:val="00B84736"/>
    <w:rsid w:val="00B87BC3"/>
    <w:rsid w:val="00B87F12"/>
    <w:rsid w:val="00B904C6"/>
    <w:rsid w:val="00B94B8D"/>
    <w:rsid w:val="00B95B18"/>
    <w:rsid w:val="00B96F1E"/>
    <w:rsid w:val="00BA0D5C"/>
    <w:rsid w:val="00BA24A7"/>
    <w:rsid w:val="00BA48CF"/>
    <w:rsid w:val="00BA6DE7"/>
    <w:rsid w:val="00BB06D6"/>
    <w:rsid w:val="00BB6202"/>
    <w:rsid w:val="00BD1955"/>
    <w:rsid w:val="00BD4CC8"/>
    <w:rsid w:val="00BD51FB"/>
    <w:rsid w:val="00BD72BC"/>
    <w:rsid w:val="00BE6096"/>
    <w:rsid w:val="00BE7A0D"/>
    <w:rsid w:val="00BF208E"/>
    <w:rsid w:val="00BF3058"/>
    <w:rsid w:val="00BF460D"/>
    <w:rsid w:val="00C020F0"/>
    <w:rsid w:val="00C04698"/>
    <w:rsid w:val="00C0762F"/>
    <w:rsid w:val="00C103E8"/>
    <w:rsid w:val="00C20B02"/>
    <w:rsid w:val="00C21949"/>
    <w:rsid w:val="00C223E4"/>
    <w:rsid w:val="00C22ACF"/>
    <w:rsid w:val="00C24F6C"/>
    <w:rsid w:val="00C25E2E"/>
    <w:rsid w:val="00C3046B"/>
    <w:rsid w:val="00C36460"/>
    <w:rsid w:val="00C37C55"/>
    <w:rsid w:val="00C416ED"/>
    <w:rsid w:val="00C42939"/>
    <w:rsid w:val="00C44FE7"/>
    <w:rsid w:val="00C47172"/>
    <w:rsid w:val="00C47D16"/>
    <w:rsid w:val="00C50537"/>
    <w:rsid w:val="00C544B1"/>
    <w:rsid w:val="00C574AD"/>
    <w:rsid w:val="00C637CE"/>
    <w:rsid w:val="00C65971"/>
    <w:rsid w:val="00C70B61"/>
    <w:rsid w:val="00C70BC0"/>
    <w:rsid w:val="00C7229C"/>
    <w:rsid w:val="00C74BB3"/>
    <w:rsid w:val="00C74F87"/>
    <w:rsid w:val="00C832AA"/>
    <w:rsid w:val="00C8407D"/>
    <w:rsid w:val="00C85539"/>
    <w:rsid w:val="00C86799"/>
    <w:rsid w:val="00C8697B"/>
    <w:rsid w:val="00C919A9"/>
    <w:rsid w:val="00C9265F"/>
    <w:rsid w:val="00C92FB8"/>
    <w:rsid w:val="00C95B72"/>
    <w:rsid w:val="00C97594"/>
    <w:rsid w:val="00C9768C"/>
    <w:rsid w:val="00C97B48"/>
    <w:rsid w:val="00CA3842"/>
    <w:rsid w:val="00CA477F"/>
    <w:rsid w:val="00CA560D"/>
    <w:rsid w:val="00CB0216"/>
    <w:rsid w:val="00CB21C8"/>
    <w:rsid w:val="00CB27DB"/>
    <w:rsid w:val="00CB2B35"/>
    <w:rsid w:val="00CB4DDA"/>
    <w:rsid w:val="00CB7D51"/>
    <w:rsid w:val="00CC42AC"/>
    <w:rsid w:val="00CC4EAA"/>
    <w:rsid w:val="00CD4BEF"/>
    <w:rsid w:val="00CD4D77"/>
    <w:rsid w:val="00CD5066"/>
    <w:rsid w:val="00CE6482"/>
    <w:rsid w:val="00CE766E"/>
    <w:rsid w:val="00CF583A"/>
    <w:rsid w:val="00CF5B99"/>
    <w:rsid w:val="00D05EFB"/>
    <w:rsid w:val="00D063EA"/>
    <w:rsid w:val="00D1182C"/>
    <w:rsid w:val="00D12B1A"/>
    <w:rsid w:val="00D138C2"/>
    <w:rsid w:val="00D16C1E"/>
    <w:rsid w:val="00D174E3"/>
    <w:rsid w:val="00D17B17"/>
    <w:rsid w:val="00D17F49"/>
    <w:rsid w:val="00D220A6"/>
    <w:rsid w:val="00D23B62"/>
    <w:rsid w:val="00D242F3"/>
    <w:rsid w:val="00D248E7"/>
    <w:rsid w:val="00D24FD3"/>
    <w:rsid w:val="00D25AF4"/>
    <w:rsid w:val="00D309DF"/>
    <w:rsid w:val="00D31AC3"/>
    <w:rsid w:val="00D327F2"/>
    <w:rsid w:val="00D33473"/>
    <w:rsid w:val="00D33CA2"/>
    <w:rsid w:val="00D34588"/>
    <w:rsid w:val="00D35A14"/>
    <w:rsid w:val="00D365D1"/>
    <w:rsid w:val="00D45DC8"/>
    <w:rsid w:val="00D5538A"/>
    <w:rsid w:val="00D57E63"/>
    <w:rsid w:val="00D66083"/>
    <w:rsid w:val="00D66AC4"/>
    <w:rsid w:val="00D73A82"/>
    <w:rsid w:val="00D752D7"/>
    <w:rsid w:val="00D80E51"/>
    <w:rsid w:val="00D812CD"/>
    <w:rsid w:val="00D818CE"/>
    <w:rsid w:val="00D84E17"/>
    <w:rsid w:val="00D86932"/>
    <w:rsid w:val="00D8730C"/>
    <w:rsid w:val="00D92F2F"/>
    <w:rsid w:val="00D95407"/>
    <w:rsid w:val="00D963EE"/>
    <w:rsid w:val="00DA07AA"/>
    <w:rsid w:val="00DA0C28"/>
    <w:rsid w:val="00DA25F8"/>
    <w:rsid w:val="00DA5030"/>
    <w:rsid w:val="00DB42AB"/>
    <w:rsid w:val="00DB5C52"/>
    <w:rsid w:val="00DB6C44"/>
    <w:rsid w:val="00DC0CEE"/>
    <w:rsid w:val="00DC1953"/>
    <w:rsid w:val="00DC59AD"/>
    <w:rsid w:val="00DD1862"/>
    <w:rsid w:val="00DD4648"/>
    <w:rsid w:val="00DE0A7A"/>
    <w:rsid w:val="00DE2018"/>
    <w:rsid w:val="00DE65BE"/>
    <w:rsid w:val="00DE774D"/>
    <w:rsid w:val="00DF061A"/>
    <w:rsid w:val="00DF0BD7"/>
    <w:rsid w:val="00DF22EE"/>
    <w:rsid w:val="00DF39F4"/>
    <w:rsid w:val="00DF51E3"/>
    <w:rsid w:val="00DF68C6"/>
    <w:rsid w:val="00DF7A74"/>
    <w:rsid w:val="00E01F36"/>
    <w:rsid w:val="00E03F9C"/>
    <w:rsid w:val="00E06268"/>
    <w:rsid w:val="00E13A42"/>
    <w:rsid w:val="00E13AC8"/>
    <w:rsid w:val="00E15EAB"/>
    <w:rsid w:val="00E17664"/>
    <w:rsid w:val="00E215E8"/>
    <w:rsid w:val="00E21D81"/>
    <w:rsid w:val="00E2428E"/>
    <w:rsid w:val="00E248C4"/>
    <w:rsid w:val="00E25D9C"/>
    <w:rsid w:val="00E268F6"/>
    <w:rsid w:val="00E26FE2"/>
    <w:rsid w:val="00E30C1F"/>
    <w:rsid w:val="00E334F1"/>
    <w:rsid w:val="00E3465D"/>
    <w:rsid w:val="00E405E4"/>
    <w:rsid w:val="00E40BDB"/>
    <w:rsid w:val="00E43ED6"/>
    <w:rsid w:val="00E465ED"/>
    <w:rsid w:val="00E4729F"/>
    <w:rsid w:val="00E53EEA"/>
    <w:rsid w:val="00E5407D"/>
    <w:rsid w:val="00E57F8C"/>
    <w:rsid w:val="00E60BC4"/>
    <w:rsid w:val="00E623FF"/>
    <w:rsid w:val="00E6335C"/>
    <w:rsid w:val="00E63C5F"/>
    <w:rsid w:val="00E644D2"/>
    <w:rsid w:val="00E65835"/>
    <w:rsid w:val="00E66C59"/>
    <w:rsid w:val="00E72226"/>
    <w:rsid w:val="00E76191"/>
    <w:rsid w:val="00E83F05"/>
    <w:rsid w:val="00E96669"/>
    <w:rsid w:val="00EA0641"/>
    <w:rsid w:val="00EA45D0"/>
    <w:rsid w:val="00EA55FB"/>
    <w:rsid w:val="00EB10B6"/>
    <w:rsid w:val="00EB24C4"/>
    <w:rsid w:val="00EB30B2"/>
    <w:rsid w:val="00EB41D9"/>
    <w:rsid w:val="00EC0194"/>
    <w:rsid w:val="00EC518F"/>
    <w:rsid w:val="00ED0F9C"/>
    <w:rsid w:val="00ED31C2"/>
    <w:rsid w:val="00EE0C06"/>
    <w:rsid w:val="00EE26A9"/>
    <w:rsid w:val="00EE2DF1"/>
    <w:rsid w:val="00EE42C6"/>
    <w:rsid w:val="00EE6011"/>
    <w:rsid w:val="00EE70A8"/>
    <w:rsid w:val="00EF0888"/>
    <w:rsid w:val="00EF35A8"/>
    <w:rsid w:val="00EF5400"/>
    <w:rsid w:val="00F00E77"/>
    <w:rsid w:val="00F01314"/>
    <w:rsid w:val="00F01F07"/>
    <w:rsid w:val="00F06194"/>
    <w:rsid w:val="00F078B6"/>
    <w:rsid w:val="00F14351"/>
    <w:rsid w:val="00F14899"/>
    <w:rsid w:val="00F150E8"/>
    <w:rsid w:val="00F1605A"/>
    <w:rsid w:val="00F1651E"/>
    <w:rsid w:val="00F1774C"/>
    <w:rsid w:val="00F20ACD"/>
    <w:rsid w:val="00F20F39"/>
    <w:rsid w:val="00F227C2"/>
    <w:rsid w:val="00F24FF0"/>
    <w:rsid w:val="00F265CE"/>
    <w:rsid w:val="00F272BA"/>
    <w:rsid w:val="00F309D7"/>
    <w:rsid w:val="00F3172D"/>
    <w:rsid w:val="00F319CA"/>
    <w:rsid w:val="00F35C0F"/>
    <w:rsid w:val="00F3684D"/>
    <w:rsid w:val="00F404C7"/>
    <w:rsid w:val="00F40719"/>
    <w:rsid w:val="00F408AF"/>
    <w:rsid w:val="00F43A47"/>
    <w:rsid w:val="00F54E7E"/>
    <w:rsid w:val="00F563DB"/>
    <w:rsid w:val="00F60CEC"/>
    <w:rsid w:val="00F64755"/>
    <w:rsid w:val="00F66DCC"/>
    <w:rsid w:val="00F673AD"/>
    <w:rsid w:val="00F73278"/>
    <w:rsid w:val="00F74DC1"/>
    <w:rsid w:val="00F7736D"/>
    <w:rsid w:val="00F77372"/>
    <w:rsid w:val="00F82225"/>
    <w:rsid w:val="00F83994"/>
    <w:rsid w:val="00F855CF"/>
    <w:rsid w:val="00F93A45"/>
    <w:rsid w:val="00F93D4A"/>
    <w:rsid w:val="00F95C55"/>
    <w:rsid w:val="00FA1FB7"/>
    <w:rsid w:val="00FA2181"/>
    <w:rsid w:val="00FA7403"/>
    <w:rsid w:val="00FB0C01"/>
    <w:rsid w:val="00FB24CF"/>
    <w:rsid w:val="00FB64F9"/>
    <w:rsid w:val="00FB6DEA"/>
    <w:rsid w:val="00FB6E2A"/>
    <w:rsid w:val="00FC0AE7"/>
    <w:rsid w:val="00FC1A7B"/>
    <w:rsid w:val="00FC2914"/>
    <w:rsid w:val="00FC2D6A"/>
    <w:rsid w:val="00FC6406"/>
    <w:rsid w:val="00FD14A5"/>
    <w:rsid w:val="00FD2439"/>
    <w:rsid w:val="00FD29EE"/>
    <w:rsid w:val="00FD41C8"/>
    <w:rsid w:val="00FD42C4"/>
    <w:rsid w:val="00FD7BBC"/>
    <w:rsid w:val="00FE2F72"/>
    <w:rsid w:val="00FF3D4B"/>
    <w:rsid w:val="00FF5354"/>
    <w:rsid w:val="00FF599C"/>
    <w:rsid w:val="00FF6026"/>
    <w:rsid w:val="00FF7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9931C"/>
  <w15:docId w15:val="{4232681C-BF47-44C2-AFDE-61D182807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45F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D50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mailSignature">
    <w:name w:val="E-mail Signature"/>
    <w:basedOn w:val="Normal"/>
    <w:link w:val="E-mailSignatureChar"/>
    <w:uiPriority w:val="99"/>
    <w:semiHidden/>
    <w:unhideWhenUsed/>
    <w:rsid w:val="000F785C"/>
    <w:pPr>
      <w:spacing w:after="0" w:line="240" w:lineRule="auto"/>
    </w:pPr>
    <w:rPr>
      <w:rFonts w:eastAsiaTheme="minorEastAsia"/>
      <w:lang w:eastAsia="en-GB"/>
    </w:rPr>
  </w:style>
  <w:style w:type="character" w:customStyle="1" w:styleId="E-mailSignatureChar">
    <w:name w:val="E-mail Signature Char"/>
    <w:basedOn w:val="DefaultParagraphFont"/>
    <w:link w:val="E-mailSignature"/>
    <w:uiPriority w:val="99"/>
    <w:semiHidden/>
    <w:rsid w:val="000F785C"/>
    <w:rPr>
      <w:rFonts w:eastAsiaTheme="minorEastAsia"/>
      <w:lang w:eastAsia="en-GB"/>
    </w:rPr>
  </w:style>
  <w:style w:type="character" w:styleId="Hyperlink">
    <w:name w:val="Hyperlink"/>
    <w:basedOn w:val="DefaultParagraphFont"/>
    <w:uiPriority w:val="99"/>
    <w:unhideWhenUsed/>
    <w:rsid w:val="000F785C"/>
    <w:rPr>
      <w:color w:val="0563C1"/>
      <w:u w:val="single"/>
    </w:rPr>
  </w:style>
  <w:style w:type="character" w:customStyle="1" w:styleId="UnresolvedMention1">
    <w:name w:val="Unresolved Mention1"/>
    <w:basedOn w:val="DefaultParagraphFont"/>
    <w:uiPriority w:val="99"/>
    <w:semiHidden/>
    <w:unhideWhenUsed/>
    <w:rsid w:val="000F785C"/>
    <w:rPr>
      <w:color w:val="605E5C"/>
      <w:shd w:val="clear" w:color="auto" w:fill="E1DFDD"/>
    </w:rPr>
  </w:style>
  <w:style w:type="paragraph" w:styleId="Header">
    <w:name w:val="header"/>
    <w:basedOn w:val="Normal"/>
    <w:link w:val="HeaderChar"/>
    <w:uiPriority w:val="99"/>
    <w:unhideWhenUsed/>
    <w:rsid w:val="00EE2D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2DF1"/>
  </w:style>
  <w:style w:type="paragraph" w:styleId="Footer">
    <w:name w:val="footer"/>
    <w:basedOn w:val="Normal"/>
    <w:link w:val="FooterChar"/>
    <w:uiPriority w:val="99"/>
    <w:unhideWhenUsed/>
    <w:rsid w:val="00EE2D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2DF1"/>
  </w:style>
  <w:style w:type="paragraph" w:styleId="ListParagraph">
    <w:name w:val="List Paragraph"/>
    <w:basedOn w:val="Normal"/>
    <w:uiPriority w:val="34"/>
    <w:qFormat/>
    <w:rsid w:val="004942CE"/>
    <w:pPr>
      <w:ind w:left="720"/>
      <w:contextualSpacing/>
    </w:pPr>
  </w:style>
  <w:style w:type="character" w:customStyle="1" w:styleId="Heading2Char">
    <w:name w:val="Heading 2 Char"/>
    <w:basedOn w:val="DefaultParagraphFont"/>
    <w:link w:val="Heading2"/>
    <w:uiPriority w:val="9"/>
    <w:rsid w:val="00245FB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D5066"/>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0D679B"/>
    <w:rPr>
      <w:sz w:val="16"/>
      <w:szCs w:val="16"/>
    </w:rPr>
  </w:style>
  <w:style w:type="paragraph" w:styleId="CommentText">
    <w:name w:val="annotation text"/>
    <w:basedOn w:val="Normal"/>
    <w:link w:val="CommentTextChar"/>
    <w:uiPriority w:val="99"/>
    <w:semiHidden/>
    <w:unhideWhenUsed/>
    <w:rsid w:val="000D679B"/>
    <w:pPr>
      <w:spacing w:line="240" w:lineRule="auto"/>
    </w:pPr>
    <w:rPr>
      <w:sz w:val="20"/>
      <w:szCs w:val="20"/>
    </w:rPr>
  </w:style>
  <w:style w:type="character" w:customStyle="1" w:styleId="CommentTextChar">
    <w:name w:val="Comment Text Char"/>
    <w:basedOn w:val="DefaultParagraphFont"/>
    <w:link w:val="CommentText"/>
    <w:uiPriority w:val="99"/>
    <w:semiHidden/>
    <w:rsid w:val="000D679B"/>
    <w:rPr>
      <w:sz w:val="20"/>
      <w:szCs w:val="20"/>
    </w:rPr>
  </w:style>
  <w:style w:type="paragraph" w:styleId="CommentSubject">
    <w:name w:val="annotation subject"/>
    <w:basedOn w:val="CommentText"/>
    <w:next w:val="CommentText"/>
    <w:link w:val="CommentSubjectChar"/>
    <w:uiPriority w:val="99"/>
    <w:semiHidden/>
    <w:unhideWhenUsed/>
    <w:rsid w:val="000D679B"/>
    <w:rPr>
      <w:b/>
      <w:bCs/>
    </w:rPr>
  </w:style>
  <w:style w:type="character" w:customStyle="1" w:styleId="CommentSubjectChar">
    <w:name w:val="Comment Subject Char"/>
    <w:basedOn w:val="CommentTextChar"/>
    <w:link w:val="CommentSubject"/>
    <w:uiPriority w:val="99"/>
    <w:semiHidden/>
    <w:rsid w:val="000D679B"/>
    <w:rPr>
      <w:b/>
      <w:bCs/>
      <w:sz w:val="20"/>
      <w:szCs w:val="20"/>
    </w:rPr>
  </w:style>
  <w:style w:type="paragraph" w:styleId="BalloonText">
    <w:name w:val="Balloon Text"/>
    <w:basedOn w:val="Normal"/>
    <w:link w:val="BalloonTextChar"/>
    <w:uiPriority w:val="99"/>
    <w:semiHidden/>
    <w:unhideWhenUsed/>
    <w:rsid w:val="009502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22E"/>
    <w:rPr>
      <w:rFonts w:ascii="Segoe UI" w:hAnsi="Segoe UI" w:cs="Segoe UI"/>
      <w:sz w:val="18"/>
      <w:szCs w:val="18"/>
    </w:rPr>
  </w:style>
  <w:style w:type="paragraph" w:styleId="FootnoteText">
    <w:name w:val="footnote text"/>
    <w:basedOn w:val="Normal"/>
    <w:link w:val="FootnoteTextChar"/>
    <w:uiPriority w:val="99"/>
    <w:semiHidden/>
    <w:unhideWhenUsed/>
    <w:rsid w:val="003F0F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0FED"/>
    <w:rPr>
      <w:sz w:val="20"/>
      <w:szCs w:val="20"/>
    </w:rPr>
  </w:style>
  <w:style w:type="character" w:styleId="FootnoteReference">
    <w:name w:val="footnote reference"/>
    <w:basedOn w:val="DefaultParagraphFont"/>
    <w:uiPriority w:val="99"/>
    <w:semiHidden/>
    <w:unhideWhenUsed/>
    <w:rsid w:val="003F0FED"/>
    <w:rPr>
      <w:vertAlign w:val="superscript"/>
    </w:rPr>
  </w:style>
  <w:style w:type="character" w:customStyle="1" w:styleId="UnresolvedMention2">
    <w:name w:val="Unresolved Mention2"/>
    <w:basedOn w:val="DefaultParagraphFont"/>
    <w:uiPriority w:val="99"/>
    <w:semiHidden/>
    <w:unhideWhenUsed/>
    <w:rsid w:val="007559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81693">
      <w:bodyDiv w:val="1"/>
      <w:marLeft w:val="0"/>
      <w:marRight w:val="0"/>
      <w:marTop w:val="0"/>
      <w:marBottom w:val="0"/>
      <w:divBdr>
        <w:top w:val="none" w:sz="0" w:space="0" w:color="auto"/>
        <w:left w:val="none" w:sz="0" w:space="0" w:color="auto"/>
        <w:bottom w:val="none" w:sz="0" w:space="0" w:color="auto"/>
        <w:right w:val="none" w:sz="0" w:space="0" w:color="auto"/>
      </w:divBdr>
    </w:div>
    <w:div w:id="638418176">
      <w:bodyDiv w:val="1"/>
      <w:marLeft w:val="0"/>
      <w:marRight w:val="0"/>
      <w:marTop w:val="0"/>
      <w:marBottom w:val="0"/>
      <w:divBdr>
        <w:top w:val="none" w:sz="0" w:space="0" w:color="auto"/>
        <w:left w:val="none" w:sz="0" w:space="0" w:color="auto"/>
        <w:bottom w:val="none" w:sz="0" w:space="0" w:color="auto"/>
        <w:right w:val="none" w:sz="0" w:space="0" w:color="auto"/>
      </w:divBdr>
    </w:div>
    <w:div w:id="1080493024">
      <w:bodyDiv w:val="1"/>
      <w:marLeft w:val="0"/>
      <w:marRight w:val="0"/>
      <w:marTop w:val="0"/>
      <w:marBottom w:val="0"/>
      <w:divBdr>
        <w:top w:val="none" w:sz="0" w:space="0" w:color="auto"/>
        <w:left w:val="none" w:sz="0" w:space="0" w:color="auto"/>
        <w:bottom w:val="none" w:sz="0" w:space="0" w:color="auto"/>
        <w:right w:val="none" w:sz="0" w:space="0" w:color="auto"/>
      </w:divBdr>
    </w:div>
    <w:div w:id="1447119325">
      <w:bodyDiv w:val="1"/>
      <w:marLeft w:val="0"/>
      <w:marRight w:val="0"/>
      <w:marTop w:val="0"/>
      <w:marBottom w:val="0"/>
      <w:divBdr>
        <w:top w:val="none" w:sz="0" w:space="0" w:color="auto"/>
        <w:left w:val="none" w:sz="0" w:space="0" w:color="auto"/>
        <w:bottom w:val="none" w:sz="0" w:space="0" w:color="auto"/>
        <w:right w:val="none" w:sz="0" w:space="0" w:color="auto"/>
      </w:divBdr>
    </w:div>
    <w:div w:id="1701935791">
      <w:bodyDiv w:val="1"/>
      <w:marLeft w:val="0"/>
      <w:marRight w:val="0"/>
      <w:marTop w:val="0"/>
      <w:marBottom w:val="0"/>
      <w:divBdr>
        <w:top w:val="none" w:sz="0" w:space="0" w:color="auto"/>
        <w:left w:val="none" w:sz="0" w:space="0" w:color="auto"/>
        <w:bottom w:val="none" w:sz="0" w:space="0" w:color="auto"/>
        <w:right w:val="none" w:sz="0" w:space="0" w:color="auto"/>
      </w:divBdr>
    </w:div>
    <w:div w:id="1759592430">
      <w:bodyDiv w:val="1"/>
      <w:marLeft w:val="0"/>
      <w:marRight w:val="0"/>
      <w:marTop w:val="0"/>
      <w:marBottom w:val="0"/>
      <w:divBdr>
        <w:top w:val="none" w:sz="0" w:space="0" w:color="auto"/>
        <w:left w:val="none" w:sz="0" w:space="0" w:color="auto"/>
        <w:bottom w:val="none" w:sz="0" w:space="0" w:color="auto"/>
        <w:right w:val="none" w:sz="0" w:space="0" w:color="auto"/>
      </w:divBdr>
    </w:div>
    <w:div w:id="195208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awreform.ie/_fileupload/Programmes%20of%20Law%20Reform/LRC%20120-2019%20-%20Fifth%20Programme%20of%20Law%20Reform.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5B7241F08053743AF422281FBA693AD" ma:contentTypeVersion="14" ma:contentTypeDescription="Stvaranje novog dokumenta." ma:contentTypeScope="" ma:versionID="6a0d46a6bfbef01ad1eeb510d4e6383a">
  <xsd:schema xmlns:xsd="http://www.w3.org/2001/XMLSchema" xmlns:xs="http://www.w3.org/2001/XMLSchema" xmlns:p="http://schemas.microsoft.com/office/2006/metadata/properties" xmlns:ns3="e2e8a2f8-aed5-4d97-9eb6-8caf8e4e0834" xmlns:ns4="a477d5c9-a586-4fc7-850b-5e9920772b88" targetNamespace="http://schemas.microsoft.com/office/2006/metadata/properties" ma:root="true" ma:fieldsID="3a1cca3a73d60cda585afc403c9c327e" ns3:_="" ns4:_="">
    <xsd:import namespace="e2e8a2f8-aed5-4d97-9eb6-8caf8e4e0834"/>
    <xsd:import namespace="a477d5c9-a586-4fc7-850b-5e9920772b8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e8a2f8-aed5-4d97-9eb6-8caf8e4e083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77d5c9-a586-4fc7-850b-5e9920772b88" elementFormDefault="qualified">
    <xsd:import namespace="http://schemas.microsoft.com/office/2006/documentManagement/types"/>
    <xsd:import namespace="http://schemas.microsoft.com/office/infopath/2007/PartnerControls"/>
    <xsd:element name="SharedWithUsers" ma:index="18"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ji o zajedničkom korištenju" ma:internalName="SharedWithDetails" ma:readOnly="true">
      <xsd:simpleType>
        <xsd:restriction base="dms:Note">
          <xsd:maxLength value="255"/>
        </xsd:restriction>
      </xsd:simpleType>
    </xsd:element>
    <xsd:element name="SharingHintHash" ma:index="20" nillable="true" ma:displayName="Raspršivanje savjeta za zajedničko korištenj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2CD540-0437-486F-BE7A-B3E9A0F39BCF}">
  <ds:schemaRefs>
    <ds:schemaRef ds:uri="http://schemas.openxmlformats.org/officeDocument/2006/bibliography"/>
  </ds:schemaRefs>
</ds:datastoreItem>
</file>

<file path=customXml/itemProps2.xml><?xml version="1.0" encoding="utf-8"?>
<ds:datastoreItem xmlns:ds="http://schemas.openxmlformats.org/officeDocument/2006/customXml" ds:itemID="{0758FE13-EEE3-4DB2-9DF0-8DEE627261D6}">
  <ds:schemaRefs>
    <ds:schemaRef ds:uri="http://schemas.microsoft.com/sharepoint/v3/contenttype/forms"/>
  </ds:schemaRefs>
</ds:datastoreItem>
</file>

<file path=customXml/itemProps3.xml><?xml version="1.0" encoding="utf-8"?>
<ds:datastoreItem xmlns:ds="http://schemas.openxmlformats.org/officeDocument/2006/customXml" ds:itemID="{6F708F2A-C9BF-4FB9-AE5C-0EB0A8B844F8}">
  <ds:schemaRefs>
    <ds:schemaRef ds:uri="http://purl.org/dc/terms/"/>
    <ds:schemaRef ds:uri="http://schemas.openxmlformats.org/package/2006/metadata/core-properties"/>
    <ds:schemaRef ds:uri="http://purl.org/dc/dcmitype/"/>
    <ds:schemaRef ds:uri="http://schemas.microsoft.com/office/infopath/2007/PartnerControls"/>
    <ds:schemaRef ds:uri="e2e8a2f8-aed5-4d97-9eb6-8caf8e4e0834"/>
    <ds:schemaRef ds:uri="http://purl.org/dc/elements/1.1/"/>
    <ds:schemaRef ds:uri="http://schemas.microsoft.com/office/2006/metadata/properties"/>
    <ds:schemaRef ds:uri="http://schemas.microsoft.com/office/2006/documentManagement/types"/>
    <ds:schemaRef ds:uri="a477d5c9-a586-4fc7-850b-5e9920772b88"/>
    <ds:schemaRef ds:uri="http://www.w3.org/XML/1998/namespace"/>
  </ds:schemaRefs>
</ds:datastoreItem>
</file>

<file path=customXml/itemProps4.xml><?xml version="1.0" encoding="utf-8"?>
<ds:datastoreItem xmlns:ds="http://schemas.openxmlformats.org/officeDocument/2006/customXml" ds:itemID="{7FB1E37E-4A35-4975-ADC1-D0DDFC689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e8a2f8-aed5-4d97-9eb6-8caf8e4e0834"/>
    <ds:schemaRef ds:uri="a477d5c9-a586-4fc7-850b-5e9920772b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4064</Words>
  <Characters>23167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UCD Staff ONLY!</Company>
  <LinksUpToDate>false</LinksUpToDate>
  <CharactersWithSpaces>27177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Konstantina Kalaitsoglou</dc:creator>
  <cp:lastModifiedBy>Trimmings, Katarina</cp:lastModifiedBy>
  <cp:revision>12</cp:revision>
  <dcterms:created xsi:type="dcterms:W3CDTF">2023-05-10T11:12:00Z</dcterms:created>
  <dcterms:modified xsi:type="dcterms:W3CDTF">2024-11-28T10:38:00Z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0x01010045B7241F08053743AF422281FBA693AD</vt:lpwstr>
  </property>
</Properties>
</file>