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BA89" w14:textId="1408B166" w:rsidR="00027C27" w:rsidRDefault="007F24A2" w:rsidP="5DEC2613">
      <w:pPr>
        <w:jc w:val="center"/>
        <w:rPr>
          <w:b/>
          <w:bCs/>
        </w:rPr>
      </w:pPr>
      <w:r w:rsidRPr="5DEC2613">
        <w:rPr>
          <w:b/>
          <w:bCs/>
        </w:rPr>
        <w:t>Moveable Transactions (Scotland) Act 2023</w:t>
      </w:r>
    </w:p>
    <w:p w14:paraId="2C8A5C6A" w14:textId="5308177D" w:rsidR="007F24A2" w:rsidRDefault="007F24A2" w:rsidP="5DEC2613">
      <w:pPr>
        <w:jc w:val="center"/>
        <w:rPr>
          <w:b/>
          <w:bCs/>
        </w:rPr>
      </w:pPr>
    </w:p>
    <w:p w14:paraId="7879ED19" w14:textId="5FCC9039" w:rsidR="007F24A2" w:rsidRDefault="007F24A2" w:rsidP="5DEC2613">
      <w:pPr>
        <w:jc w:val="center"/>
        <w:rPr>
          <w:b/>
          <w:bCs/>
        </w:rPr>
      </w:pPr>
      <w:r w:rsidRPr="5DEC2613">
        <w:rPr>
          <w:b/>
          <w:bCs/>
        </w:rPr>
        <w:t xml:space="preserve">Consultation – </w:t>
      </w:r>
      <w:r w:rsidR="00355580">
        <w:rPr>
          <w:b/>
          <w:bCs/>
        </w:rPr>
        <w:t>D</w:t>
      </w:r>
      <w:r w:rsidRPr="5DEC2613">
        <w:rPr>
          <w:b/>
          <w:bCs/>
        </w:rPr>
        <w:t xml:space="preserve">efinition of </w:t>
      </w:r>
      <w:r w:rsidR="00355580">
        <w:rPr>
          <w:b/>
          <w:bCs/>
        </w:rPr>
        <w:t>I</w:t>
      </w:r>
      <w:r w:rsidRPr="5DEC2613">
        <w:rPr>
          <w:b/>
          <w:bCs/>
        </w:rPr>
        <w:t>nsolvency</w:t>
      </w:r>
    </w:p>
    <w:p w14:paraId="56F76BFA" w14:textId="6CF62A30" w:rsidR="007F24A2" w:rsidRDefault="007F24A2" w:rsidP="5DEC2613">
      <w:pPr>
        <w:jc w:val="center"/>
        <w:rPr>
          <w:b/>
          <w:bCs/>
        </w:rPr>
      </w:pPr>
    </w:p>
    <w:p w14:paraId="4D6FA7BD" w14:textId="09B879E4" w:rsidR="00355580" w:rsidRDefault="00355580" w:rsidP="5DEC2613">
      <w:pPr>
        <w:jc w:val="center"/>
        <w:rPr>
          <w:b/>
          <w:bCs/>
        </w:rPr>
      </w:pPr>
      <w:r>
        <w:rPr>
          <w:b/>
          <w:bCs/>
        </w:rPr>
        <w:t>Response – November 2023</w:t>
      </w:r>
    </w:p>
    <w:p w14:paraId="1CEDCCB3" w14:textId="77777777" w:rsidR="000B59FA" w:rsidRDefault="000B59FA" w:rsidP="00B35AFB">
      <w:pPr>
        <w:jc w:val="both"/>
      </w:pPr>
    </w:p>
    <w:p w14:paraId="005D5D33" w14:textId="4DFFE25C" w:rsidR="5DEC2613" w:rsidRDefault="5DEC2613" w:rsidP="5DEC2613">
      <w:pPr>
        <w:jc w:val="both"/>
        <w:rPr>
          <w:b/>
          <w:bCs/>
        </w:rPr>
      </w:pPr>
    </w:p>
    <w:p w14:paraId="378507CF" w14:textId="76E14A40" w:rsidR="00355580" w:rsidRPr="00355580" w:rsidRDefault="00355580" w:rsidP="5DEC2613">
      <w:pPr>
        <w:jc w:val="both"/>
      </w:pPr>
      <w:r>
        <w:t>This response is provided by Dr Alisdair MacPherson and Professor Donna McKenzie Skene. We are both members of the Centre for Scots Law at the University of Aberdeen.</w:t>
      </w:r>
    </w:p>
    <w:p w14:paraId="00B09619" w14:textId="77777777" w:rsidR="00355580" w:rsidRDefault="00355580" w:rsidP="5DEC2613">
      <w:pPr>
        <w:jc w:val="both"/>
        <w:rPr>
          <w:b/>
          <w:bCs/>
        </w:rPr>
      </w:pPr>
    </w:p>
    <w:p w14:paraId="33C1D741" w14:textId="77777777" w:rsidR="00355580" w:rsidRDefault="00355580" w:rsidP="5DEC2613">
      <w:pPr>
        <w:jc w:val="both"/>
        <w:rPr>
          <w:b/>
          <w:bCs/>
        </w:rPr>
      </w:pPr>
    </w:p>
    <w:p w14:paraId="464CCA54" w14:textId="03708E12" w:rsidR="4BB979A2" w:rsidRDefault="4BB979A2" w:rsidP="5DEC2613">
      <w:pPr>
        <w:jc w:val="both"/>
        <w:rPr>
          <w:rFonts w:eastAsia="Arial" w:cs="Arial"/>
          <w:b/>
          <w:bCs/>
          <w:szCs w:val="24"/>
        </w:rPr>
      </w:pPr>
      <w:r w:rsidRPr="5DEC2613">
        <w:rPr>
          <w:rFonts w:eastAsia="Arial" w:cs="Arial"/>
          <w:b/>
          <w:bCs/>
          <w:szCs w:val="24"/>
        </w:rPr>
        <w:t>Question One – should the relevant definitions of insolvency capture insolvency procedures or the state of being insolvent?  Please provide reasons for your views.</w:t>
      </w:r>
    </w:p>
    <w:p w14:paraId="2E225ECD" w14:textId="77777777" w:rsidR="00355580" w:rsidRDefault="00355580" w:rsidP="5DEC2613">
      <w:pPr>
        <w:jc w:val="both"/>
        <w:rPr>
          <w:rFonts w:eastAsia="Arial" w:cs="Arial"/>
          <w:b/>
          <w:bCs/>
          <w:szCs w:val="24"/>
        </w:rPr>
      </w:pPr>
    </w:p>
    <w:p w14:paraId="2AC71493" w14:textId="426A7455" w:rsidR="00355580" w:rsidRDefault="00355580" w:rsidP="5DEC2613">
      <w:pPr>
        <w:jc w:val="both"/>
        <w:rPr>
          <w:rFonts w:eastAsia="Arial" w:cs="Arial"/>
          <w:szCs w:val="24"/>
        </w:rPr>
      </w:pPr>
      <w:r>
        <w:rPr>
          <w:rFonts w:eastAsia="Arial" w:cs="Arial"/>
          <w:szCs w:val="24"/>
        </w:rPr>
        <w:t>We consider that the relevant definitions of insolvency should capture insolvency procedures, rather than the state of being insolvent. This is primarily because insolvency procedures involve a significantly greater level of certainty and clarity as to what will constitute insolvency within the legislation.</w:t>
      </w:r>
      <w:r w:rsidR="00F068AC">
        <w:rPr>
          <w:rFonts w:eastAsia="Arial" w:cs="Arial"/>
          <w:szCs w:val="24"/>
        </w:rPr>
        <w:t xml:space="preserve"> More certainty will be preferable for parties dealing with the debtor or </w:t>
      </w:r>
      <w:r w:rsidR="00BD53F7">
        <w:rPr>
          <w:rFonts w:eastAsia="Arial" w:cs="Arial"/>
          <w:szCs w:val="24"/>
        </w:rPr>
        <w:t xml:space="preserve">interested in </w:t>
      </w:r>
      <w:r w:rsidR="00F068AC">
        <w:rPr>
          <w:rFonts w:eastAsia="Arial" w:cs="Arial"/>
          <w:szCs w:val="24"/>
        </w:rPr>
        <w:t xml:space="preserve">relevant property. The alternative would mean that such parties </w:t>
      </w:r>
      <w:r w:rsidR="007C7291">
        <w:rPr>
          <w:rFonts w:eastAsia="Arial" w:cs="Arial"/>
          <w:szCs w:val="24"/>
        </w:rPr>
        <w:t>could</w:t>
      </w:r>
      <w:r w:rsidR="00F068AC">
        <w:rPr>
          <w:rFonts w:eastAsia="Arial" w:cs="Arial"/>
          <w:szCs w:val="24"/>
        </w:rPr>
        <w:t xml:space="preserve"> not be </w:t>
      </w:r>
      <w:r w:rsidR="007C7291">
        <w:rPr>
          <w:rFonts w:eastAsia="Arial" w:cs="Arial"/>
          <w:szCs w:val="24"/>
        </w:rPr>
        <w:t>certain</w:t>
      </w:r>
      <w:r w:rsidR="00F068AC">
        <w:rPr>
          <w:rFonts w:eastAsia="Arial" w:cs="Arial"/>
          <w:szCs w:val="24"/>
        </w:rPr>
        <w:t xml:space="preserve"> of the legal status of the purportedly assigned or pledged items at a particular moment.</w:t>
      </w:r>
      <w:r w:rsidR="007C7291">
        <w:rPr>
          <w:rFonts w:eastAsia="Arial" w:cs="Arial"/>
          <w:szCs w:val="24"/>
        </w:rPr>
        <w:t xml:space="preserve"> They may not have access to the relevant information to allow an assessment of the debtor’s state of solvency/insolvency to be made at any given moment and indeed this may vary from moment to moment.</w:t>
      </w:r>
      <w:r w:rsidR="009420DD">
        <w:rPr>
          <w:rFonts w:eastAsia="Arial" w:cs="Arial"/>
          <w:szCs w:val="24"/>
        </w:rPr>
        <w:t xml:space="preserve"> </w:t>
      </w:r>
      <w:r w:rsidR="00F068AC">
        <w:rPr>
          <w:rFonts w:eastAsia="Arial" w:cs="Arial"/>
          <w:szCs w:val="24"/>
        </w:rPr>
        <w:t>This could hinder the raising of finance and other transactions and create disputes, which may lead to litigation. Although there are clearly difficulties in determining which procedures should be included within the definition of insolvency, t</w:t>
      </w:r>
      <w:r>
        <w:rPr>
          <w:rFonts w:eastAsia="Arial" w:cs="Arial"/>
          <w:szCs w:val="24"/>
        </w:rPr>
        <w:t xml:space="preserve">he state of being insolvent would also require consideration of which insolvency tests would constitute insolvency for these purposes, such as absolute insolvency and/or practical insolvency (and even apparent insolvency). </w:t>
      </w:r>
    </w:p>
    <w:p w14:paraId="2A11337A" w14:textId="77777777" w:rsidR="00E3441F" w:rsidRDefault="00E3441F" w:rsidP="5DEC2613">
      <w:pPr>
        <w:jc w:val="both"/>
        <w:rPr>
          <w:rFonts w:eastAsia="Arial" w:cs="Arial"/>
          <w:szCs w:val="24"/>
        </w:rPr>
      </w:pPr>
    </w:p>
    <w:p w14:paraId="56D39266" w14:textId="71D3082F" w:rsidR="00E3441F" w:rsidRPr="00355580" w:rsidRDefault="00E3441F" w:rsidP="5DEC2613">
      <w:pPr>
        <w:jc w:val="both"/>
        <w:rPr>
          <w:rFonts w:eastAsia="Arial" w:cs="Arial"/>
          <w:szCs w:val="24"/>
        </w:rPr>
      </w:pPr>
      <w:r w:rsidRPr="00E3441F">
        <w:rPr>
          <w:rFonts w:eastAsia="Arial" w:cs="Arial"/>
          <w:szCs w:val="24"/>
        </w:rPr>
        <w:t xml:space="preserve">If </w:t>
      </w:r>
      <w:r>
        <w:rPr>
          <w:rFonts w:eastAsia="Arial" w:cs="Arial"/>
          <w:szCs w:val="24"/>
        </w:rPr>
        <w:t>the insolvency procedures approach is adopted, the state of insolvency may still play a role in the wider applicable law and what ultimately happens to the property</w:t>
      </w:r>
      <w:r w:rsidR="00BD53F7">
        <w:rPr>
          <w:rFonts w:eastAsia="Arial" w:cs="Arial"/>
          <w:szCs w:val="24"/>
        </w:rPr>
        <w:t xml:space="preserve"> in question</w:t>
      </w:r>
      <w:r>
        <w:rPr>
          <w:rFonts w:eastAsia="Arial" w:cs="Arial"/>
          <w:szCs w:val="24"/>
        </w:rPr>
        <w:t xml:space="preserve">. If </w:t>
      </w:r>
      <w:r w:rsidRPr="00E3441F">
        <w:rPr>
          <w:rFonts w:eastAsia="Arial" w:cs="Arial"/>
          <w:szCs w:val="24"/>
        </w:rPr>
        <w:t>property is only acquired by the cedent/pledgor after they become factually insolvent,</w:t>
      </w:r>
      <w:r>
        <w:rPr>
          <w:rFonts w:eastAsia="Arial" w:cs="Arial"/>
          <w:szCs w:val="24"/>
        </w:rPr>
        <w:t xml:space="preserve"> but before the commencement of one of the insolvency procedures in the definition, </w:t>
      </w:r>
      <w:r w:rsidRPr="00E3441F">
        <w:rPr>
          <w:rFonts w:eastAsia="Arial" w:cs="Arial"/>
          <w:szCs w:val="24"/>
        </w:rPr>
        <w:t xml:space="preserve">then a pre-existing assignation or statutory pledge would still enable the property to be transferred or encumbered. </w:t>
      </w:r>
      <w:r>
        <w:rPr>
          <w:rFonts w:eastAsia="Arial" w:cs="Arial"/>
          <w:szCs w:val="24"/>
        </w:rPr>
        <w:t>However</w:t>
      </w:r>
      <w:r w:rsidRPr="00E3441F">
        <w:rPr>
          <w:rFonts w:eastAsia="Arial" w:cs="Arial"/>
          <w:szCs w:val="24"/>
        </w:rPr>
        <w:t xml:space="preserve">, </w:t>
      </w:r>
      <w:r>
        <w:rPr>
          <w:rFonts w:eastAsia="Arial" w:cs="Arial"/>
          <w:szCs w:val="24"/>
        </w:rPr>
        <w:t xml:space="preserve">it is possible that </w:t>
      </w:r>
      <w:r w:rsidRPr="00E3441F">
        <w:rPr>
          <w:rFonts w:eastAsia="Arial" w:cs="Arial"/>
          <w:szCs w:val="24"/>
        </w:rPr>
        <w:t xml:space="preserve">such a transfer or encumbrance of the property </w:t>
      </w:r>
      <w:r>
        <w:rPr>
          <w:rFonts w:eastAsia="Arial" w:cs="Arial"/>
          <w:szCs w:val="24"/>
        </w:rPr>
        <w:t>c</w:t>
      </w:r>
      <w:r w:rsidRPr="00E3441F">
        <w:rPr>
          <w:rFonts w:eastAsia="Arial" w:cs="Arial"/>
          <w:szCs w:val="24"/>
        </w:rPr>
        <w:t xml:space="preserve">ould be challengeable </w:t>
      </w:r>
      <w:r>
        <w:rPr>
          <w:rFonts w:eastAsia="Arial" w:cs="Arial"/>
          <w:szCs w:val="24"/>
        </w:rPr>
        <w:t xml:space="preserve">as, for example, </w:t>
      </w:r>
      <w:r w:rsidRPr="00E3441F">
        <w:rPr>
          <w:rFonts w:eastAsia="Arial" w:cs="Arial"/>
          <w:szCs w:val="24"/>
        </w:rPr>
        <w:t>a gratuitous alienation or unfair preference</w:t>
      </w:r>
      <w:r>
        <w:rPr>
          <w:rFonts w:eastAsia="Arial" w:cs="Arial"/>
          <w:szCs w:val="24"/>
        </w:rPr>
        <w:t xml:space="preserve"> (whether under </w:t>
      </w:r>
      <w:r w:rsidR="00BD53F7">
        <w:rPr>
          <w:rFonts w:eastAsia="Arial" w:cs="Arial"/>
          <w:szCs w:val="24"/>
        </w:rPr>
        <w:t>the Insolvency Act 1986, ss 242-243, Bankruptcy (Scotland) Act 2016, ss 98-99,</w:t>
      </w:r>
      <w:r>
        <w:rPr>
          <w:rFonts w:eastAsia="Arial" w:cs="Arial"/>
          <w:szCs w:val="24"/>
        </w:rPr>
        <w:t xml:space="preserve"> or at common law)</w:t>
      </w:r>
      <w:r w:rsidRPr="00E3441F">
        <w:rPr>
          <w:rFonts w:eastAsia="Arial" w:cs="Arial"/>
          <w:szCs w:val="24"/>
        </w:rPr>
        <w:t xml:space="preserve">. </w:t>
      </w:r>
      <w:r>
        <w:rPr>
          <w:rFonts w:eastAsia="Arial" w:cs="Arial"/>
          <w:szCs w:val="24"/>
        </w:rPr>
        <w:t>But this would depend on meeting other conditions for such a challenge,</w:t>
      </w:r>
      <w:r w:rsidRPr="00E3441F">
        <w:rPr>
          <w:rFonts w:eastAsia="Arial" w:cs="Arial"/>
          <w:szCs w:val="24"/>
        </w:rPr>
        <w:t xml:space="preserve"> including </w:t>
      </w:r>
      <w:r w:rsidR="004A1BDF">
        <w:rPr>
          <w:rFonts w:eastAsia="Arial" w:cs="Arial"/>
          <w:szCs w:val="24"/>
        </w:rPr>
        <w:t xml:space="preserve">in the case of the statutory provisions </w:t>
      </w:r>
      <w:r w:rsidR="00BD53F7">
        <w:rPr>
          <w:rFonts w:eastAsia="Arial" w:cs="Arial"/>
          <w:szCs w:val="24"/>
        </w:rPr>
        <w:t xml:space="preserve">a relevant insolvency procedure commencing within the necessary timescales, and </w:t>
      </w:r>
      <w:r w:rsidRPr="00E3441F">
        <w:rPr>
          <w:rFonts w:eastAsia="Arial" w:cs="Arial"/>
          <w:szCs w:val="24"/>
        </w:rPr>
        <w:t xml:space="preserve">insufficient </w:t>
      </w:r>
      <w:r w:rsidR="00BD53F7">
        <w:rPr>
          <w:rFonts w:eastAsia="Arial" w:cs="Arial"/>
          <w:szCs w:val="24"/>
        </w:rPr>
        <w:t>consideration</w:t>
      </w:r>
      <w:r w:rsidRPr="00E3441F">
        <w:rPr>
          <w:rFonts w:eastAsia="Arial" w:cs="Arial"/>
          <w:szCs w:val="24"/>
        </w:rPr>
        <w:t xml:space="preserve"> </w:t>
      </w:r>
      <w:r w:rsidR="00BD53F7">
        <w:rPr>
          <w:rFonts w:eastAsia="Arial" w:cs="Arial"/>
          <w:szCs w:val="24"/>
        </w:rPr>
        <w:t>having been</w:t>
      </w:r>
      <w:r w:rsidRPr="00E3441F">
        <w:rPr>
          <w:rFonts w:eastAsia="Arial" w:cs="Arial"/>
          <w:szCs w:val="24"/>
        </w:rPr>
        <w:t xml:space="preserve"> given for the assigned claim or there being no reciprocal obligations where security has been created.</w:t>
      </w:r>
      <w:r>
        <w:rPr>
          <w:rFonts w:eastAsia="Arial" w:cs="Arial"/>
          <w:szCs w:val="24"/>
        </w:rPr>
        <w:t xml:space="preserve"> </w:t>
      </w:r>
      <w:r w:rsidR="003D79D8">
        <w:rPr>
          <w:rFonts w:eastAsia="Arial" w:cs="Arial"/>
          <w:szCs w:val="24"/>
        </w:rPr>
        <w:t>It should be noted that</w:t>
      </w:r>
      <w:r w:rsidR="004A1BDF">
        <w:rPr>
          <w:rFonts w:eastAsia="Arial" w:cs="Arial"/>
          <w:szCs w:val="24"/>
        </w:rPr>
        <w:t xml:space="preserve"> in terms of the statutory provisions,</w:t>
      </w:r>
      <w:r w:rsidR="003D79D8">
        <w:rPr>
          <w:rFonts w:eastAsia="Arial" w:cs="Arial"/>
          <w:szCs w:val="24"/>
        </w:rPr>
        <w:t xml:space="preserve"> the</w:t>
      </w:r>
      <w:r w:rsidR="00BD53F7">
        <w:rPr>
          <w:rFonts w:eastAsia="Arial" w:cs="Arial"/>
          <w:szCs w:val="24"/>
        </w:rPr>
        <w:t xml:space="preserve"> point when a gratuitous alienation takes place or an unfair preference is created is when the transfer or preference becomes “completely effectual” (Insolvency Act 1986, ss 242(3) and 243(3); Bankruptcy (Scotland) Act 2016, ss 98(3) and 99(4)), which would be when the property actually transfers to the assignee</w:t>
      </w:r>
      <w:r w:rsidR="00A705BB">
        <w:rPr>
          <w:rFonts w:eastAsia="Arial" w:cs="Arial"/>
          <w:szCs w:val="24"/>
        </w:rPr>
        <w:t xml:space="preserve"> or the acquired security becomes </w:t>
      </w:r>
      <w:r w:rsidR="00A705BB">
        <w:rPr>
          <w:rFonts w:eastAsia="Arial" w:cs="Arial"/>
          <w:szCs w:val="24"/>
        </w:rPr>
        <w:lastRenderedPageBreak/>
        <w:t>encumbered</w:t>
      </w:r>
      <w:r w:rsidR="003D79D8">
        <w:rPr>
          <w:rFonts w:eastAsia="Arial" w:cs="Arial"/>
          <w:szCs w:val="24"/>
        </w:rPr>
        <w:t xml:space="preserve">. </w:t>
      </w:r>
      <w:r>
        <w:rPr>
          <w:rFonts w:eastAsia="Arial" w:cs="Arial"/>
          <w:szCs w:val="24"/>
        </w:rPr>
        <w:t xml:space="preserve">These issues are, however, separate from the 2023 Act and the </w:t>
      </w:r>
      <w:proofErr w:type="spellStart"/>
      <w:r>
        <w:rPr>
          <w:rFonts w:eastAsia="Arial" w:cs="Arial"/>
          <w:szCs w:val="24"/>
        </w:rPr>
        <w:t>challengeability</w:t>
      </w:r>
      <w:proofErr w:type="spellEnd"/>
      <w:r>
        <w:rPr>
          <w:rFonts w:eastAsia="Arial" w:cs="Arial"/>
          <w:szCs w:val="24"/>
        </w:rPr>
        <w:t xml:space="preserve"> would n</w:t>
      </w:r>
      <w:r w:rsidRPr="00E3441F">
        <w:rPr>
          <w:rFonts w:eastAsia="Arial" w:cs="Arial"/>
          <w:szCs w:val="24"/>
        </w:rPr>
        <w:t>ot affect the effectiveness of the transfer or security in the meantime.</w:t>
      </w:r>
    </w:p>
    <w:p w14:paraId="4E67AEAE" w14:textId="763FECA8" w:rsidR="5DEC2613" w:rsidRDefault="5DEC2613" w:rsidP="5DEC2613">
      <w:pPr>
        <w:jc w:val="both"/>
        <w:rPr>
          <w:rFonts w:eastAsia="Arial" w:cs="Arial"/>
          <w:b/>
          <w:bCs/>
          <w:szCs w:val="24"/>
        </w:rPr>
      </w:pPr>
    </w:p>
    <w:p w14:paraId="1D1A3C4E" w14:textId="39F6B82D" w:rsidR="4BB979A2" w:rsidRDefault="4BB979A2" w:rsidP="5DEC2613">
      <w:pPr>
        <w:jc w:val="both"/>
        <w:rPr>
          <w:rFonts w:eastAsia="Arial" w:cs="Arial"/>
          <w:b/>
          <w:bCs/>
          <w:color w:val="000000" w:themeColor="text1"/>
          <w:szCs w:val="24"/>
        </w:rPr>
      </w:pPr>
      <w:r w:rsidRPr="5DEC2613">
        <w:rPr>
          <w:rFonts w:eastAsia="Arial" w:cs="Arial"/>
          <w:b/>
          <w:bCs/>
          <w:color w:val="000000" w:themeColor="text1"/>
          <w:szCs w:val="24"/>
        </w:rPr>
        <w:t>Question Two – please provide your views on the current definitions of insolvency in the Act and highlight any circumstances which are unnecessary or alternately are missing.  It would be helpful if you could provide reasons and/or examples for your views.</w:t>
      </w:r>
    </w:p>
    <w:p w14:paraId="4AE6B4B0" w14:textId="77777777" w:rsidR="00E3441F" w:rsidRDefault="00E3441F" w:rsidP="5DEC2613">
      <w:pPr>
        <w:jc w:val="both"/>
        <w:rPr>
          <w:rFonts w:eastAsia="Arial" w:cs="Arial"/>
          <w:b/>
          <w:bCs/>
          <w:color w:val="000000" w:themeColor="text1"/>
          <w:szCs w:val="24"/>
        </w:rPr>
      </w:pPr>
    </w:p>
    <w:p w14:paraId="3B49118C" w14:textId="19687F2B" w:rsidR="00E3441F" w:rsidRDefault="00A71712" w:rsidP="5DEC2613">
      <w:pPr>
        <w:jc w:val="both"/>
        <w:rPr>
          <w:rFonts w:eastAsia="Arial" w:cs="Arial"/>
          <w:color w:val="000000" w:themeColor="text1"/>
          <w:szCs w:val="24"/>
        </w:rPr>
      </w:pPr>
      <w:r>
        <w:rPr>
          <w:rFonts w:eastAsia="Arial" w:cs="Arial"/>
          <w:color w:val="000000" w:themeColor="text1"/>
          <w:szCs w:val="24"/>
        </w:rPr>
        <w:t xml:space="preserve">It </w:t>
      </w:r>
      <w:r w:rsidR="00B54B94">
        <w:rPr>
          <w:rFonts w:eastAsia="Arial" w:cs="Arial"/>
          <w:color w:val="000000" w:themeColor="text1"/>
          <w:szCs w:val="24"/>
        </w:rPr>
        <w:t xml:space="preserve">may not be possible to achieve a wholly consistent position here, given the </w:t>
      </w:r>
      <w:r w:rsidR="003B50B3">
        <w:rPr>
          <w:rFonts w:eastAsia="Arial" w:cs="Arial"/>
          <w:color w:val="000000" w:themeColor="text1"/>
          <w:szCs w:val="24"/>
        </w:rPr>
        <w:t>com</w:t>
      </w:r>
      <w:r w:rsidR="001C1BF7">
        <w:rPr>
          <w:rFonts w:eastAsia="Arial" w:cs="Arial"/>
          <w:color w:val="000000" w:themeColor="text1"/>
          <w:szCs w:val="24"/>
        </w:rPr>
        <w:t>plexity of</w:t>
      </w:r>
      <w:r w:rsidR="009E62AB">
        <w:rPr>
          <w:rFonts w:eastAsia="Arial" w:cs="Arial"/>
          <w:color w:val="000000" w:themeColor="text1"/>
          <w:szCs w:val="24"/>
        </w:rPr>
        <w:t xml:space="preserve"> insolvency law</w:t>
      </w:r>
      <w:r w:rsidR="007976B2">
        <w:rPr>
          <w:rFonts w:eastAsia="Arial" w:cs="Arial"/>
          <w:color w:val="000000" w:themeColor="text1"/>
          <w:szCs w:val="24"/>
        </w:rPr>
        <w:t xml:space="preserve">, the overlaps between </w:t>
      </w:r>
      <w:r w:rsidR="00E52862">
        <w:rPr>
          <w:rFonts w:eastAsia="Arial" w:cs="Arial"/>
          <w:color w:val="000000" w:themeColor="text1"/>
          <w:szCs w:val="24"/>
        </w:rPr>
        <w:t xml:space="preserve">features of </w:t>
      </w:r>
      <w:r w:rsidR="007976B2">
        <w:rPr>
          <w:rFonts w:eastAsia="Arial" w:cs="Arial"/>
          <w:color w:val="000000" w:themeColor="text1"/>
          <w:szCs w:val="24"/>
        </w:rPr>
        <w:t>different procedures</w:t>
      </w:r>
      <w:r w:rsidR="00BF619D">
        <w:rPr>
          <w:rFonts w:eastAsia="Arial" w:cs="Arial"/>
          <w:color w:val="000000" w:themeColor="text1"/>
          <w:szCs w:val="24"/>
        </w:rPr>
        <w:t>, the potentially different nature of some procedures depending on the circumstances</w:t>
      </w:r>
      <w:r w:rsidR="009E62AB">
        <w:rPr>
          <w:rFonts w:eastAsia="Arial" w:cs="Arial"/>
          <w:color w:val="000000" w:themeColor="text1"/>
          <w:szCs w:val="24"/>
        </w:rPr>
        <w:t xml:space="preserve"> and the fact that in certain contexts some processes are recognised as insolvency procedures, while in other contexts they are not.</w:t>
      </w:r>
    </w:p>
    <w:p w14:paraId="6CDB8D3F" w14:textId="77777777" w:rsidR="00BD5A2E" w:rsidRDefault="00BD5A2E" w:rsidP="5DEC2613">
      <w:pPr>
        <w:jc w:val="both"/>
        <w:rPr>
          <w:rFonts w:eastAsia="Arial" w:cs="Arial"/>
          <w:color w:val="000000" w:themeColor="text1"/>
          <w:szCs w:val="24"/>
        </w:rPr>
      </w:pPr>
    </w:p>
    <w:p w14:paraId="4A1E8637" w14:textId="2F41A612" w:rsidR="002E1201" w:rsidRDefault="002E1201" w:rsidP="00F9105B">
      <w:pPr>
        <w:jc w:val="both"/>
        <w:rPr>
          <w:rFonts w:eastAsia="Arial" w:cs="Arial"/>
          <w:color w:val="000000" w:themeColor="text1"/>
          <w:szCs w:val="24"/>
        </w:rPr>
      </w:pPr>
      <w:r>
        <w:rPr>
          <w:rFonts w:eastAsia="Arial" w:cs="Arial"/>
          <w:color w:val="000000" w:themeColor="text1"/>
          <w:szCs w:val="24"/>
        </w:rPr>
        <w:t xml:space="preserve">The most appropriate approach </w:t>
      </w:r>
      <w:r w:rsidR="007D7128">
        <w:rPr>
          <w:rFonts w:eastAsia="Arial" w:cs="Arial"/>
          <w:color w:val="000000" w:themeColor="text1"/>
          <w:szCs w:val="24"/>
        </w:rPr>
        <w:t xml:space="preserve">largely depends upon </w:t>
      </w:r>
      <w:r w:rsidR="007D7128" w:rsidRPr="007D7128">
        <w:rPr>
          <w:rFonts w:eastAsia="Arial" w:cs="Arial"/>
          <w:color w:val="000000" w:themeColor="text1"/>
          <w:szCs w:val="24"/>
        </w:rPr>
        <w:t xml:space="preserve">whether </w:t>
      </w:r>
      <w:r w:rsidR="007D7128">
        <w:rPr>
          <w:rFonts w:eastAsia="Arial" w:cs="Arial"/>
          <w:color w:val="000000" w:themeColor="text1"/>
          <w:szCs w:val="24"/>
        </w:rPr>
        <w:t xml:space="preserve">the </w:t>
      </w:r>
      <w:r w:rsidR="009F63DE">
        <w:rPr>
          <w:rFonts w:eastAsia="Arial" w:cs="Arial"/>
          <w:color w:val="000000" w:themeColor="text1"/>
          <w:szCs w:val="24"/>
        </w:rPr>
        <w:t xml:space="preserve">policy </w:t>
      </w:r>
      <w:r w:rsidR="007D7128" w:rsidRPr="007D7128">
        <w:rPr>
          <w:rFonts w:eastAsia="Arial" w:cs="Arial"/>
          <w:color w:val="000000" w:themeColor="text1"/>
          <w:szCs w:val="24"/>
        </w:rPr>
        <w:t>prefer</w:t>
      </w:r>
      <w:r w:rsidR="009F63DE">
        <w:rPr>
          <w:rFonts w:eastAsia="Arial" w:cs="Arial"/>
          <w:color w:val="000000" w:themeColor="text1"/>
          <w:szCs w:val="24"/>
        </w:rPr>
        <w:t>ence is to</w:t>
      </w:r>
      <w:r w:rsidR="007D7128" w:rsidRPr="007D7128">
        <w:rPr>
          <w:rFonts w:eastAsia="Arial" w:cs="Arial"/>
          <w:color w:val="000000" w:themeColor="text1"/>
          <w:szCs w:val="24"/>
        </w:rPr>
        <w:t xml:space="preserve"> </w:t>
      </w:r>
      <w:r w:rsidR="009F63DE">
        <w:rPr>
          <w:rFonts w:eastAsia="Arial" w:cs="Arial"/>
          <w:color w:val="000000" w:themeColor="text1"/>
          <w:szCs w:val="24"/>
        </w:rPr>
        <w:t xml:space="preserve">prioritise </w:t>
      </w:r>
      <w:r w:rsidR="007D7128" w:rsidRPr="007D7128">
        <w:rPr>
          <w:rFonts w:eastAsia="Arial" w:cs="Arial"/>
          <w:color w:val="000000" w:themeColor="text1"/>
          <w:szCs w:val="24"/>
        </w:rPr>
        <w:t>the potential assignee/pledgee (on the basis of the agreement to assign/create security, and the potential for obtaining the property or security</w:t>
      </w:r>
      <w:r w:rsidR="00FF757B">
        <w:rPr>
          <w:rFonts w:eastAsia="Arial" w:cs="Arial"/>
          <w:color w:val="000000" w:themeColor="text1"/>
          <w:szCs w:val="24"/>
        </w:rPr>
        <w:t>, as well as its support for finance from that party</w:t>
      </w:r>
      <w:r w:rsidR="007D7128" w:rsidRPr="007D7128">
        <w:rPr>
          <w:rFonts w:eastAsia="Arial" w:cs="Arial"/>
          <w:color w:val="000000" w:themeColor="text1"/>
          <w:szCs w:val="24"/>
        </w:rPr>
        <w:t>) or the creditors more generally (due to the intervention of the insolvency procedure, the absence of a real right held by the assignee/pledgee at that stage</w:t>
      </w:r>
      <w:r w:rsidR="00FF757B">
        <w:rPr>
          <w:rFonts w:eastAsia="Arial" w:cs="Arial"/>
          <w:color w:val="000000" w:themeColor="text1"/>
          <w:szCs w:val="24"/>
        </w:rPr>
        <w:t>, and the desire to protect other creditors</w:t>
      </w:r>
      <w:r w:rsidR="007D7128" w:rsidRPr="007D7128">
        <w:rPr>
          <w:rFonts w:eastAsia="Arial" w:cs="Arial"/>
          <w:color w:val="000000" w:themeColor="text1"/>
          <w:szCs w:val="24"/>
        </w:rPr>
        <w:t>)</w:t>
      </w:r>
      <w:r w:rsidR="00372017">
        <w:rPr>
          <w:rFonts w:eastAsia="Arial" w:cs="Arial"/>
          <w:color w:val="000000" w:themeColor="text1"/>
          <w:szCs w:val="24"/>
        </w:rPr>
        <w:t xml:space="preserve"> or even the distressed debtor (in the context of the rescue culture/fresh start)</w:t>
      </w:r>
      <w:r w:rsidR="007D7128" w:rsidRPr="007D7128">
        <w:rPr>
          <w:rFonts w:eastAsia="Arial" w:cs="Arial"/>
          <w:color w:val="000000" w:themeColor="text1"/>
          <w:szCs w:val="24"/>
        </w:rPr>
        <w:t>.</w:t>
      </w:r>
      <w:r w:rsidR="005F643A">
        <w:rPr>
          <w:rFonts w:eastAsia="Arial" w:cs="Arial"/>
          <w:color w:val="000000" w:themeColor="text1"/>
          <w:szCs w:val="24"/>
        </w:rPr>
        <w:t xml:space="preserve"> If t</w:t>
      </w:r>
      <w:r w:rsidR="007D7128" w:rsidRPr="007D7128">
        <w:rPr>
          <w:rFonts w:eastAsia="Arial" w:cs="Arial"/>
          <w:color w:val="000000" w:themeColor="text1"/>
          <w:szCs w:val="24"/>
        </w:rPr>
        <w:t xml:space="preserve">he policy preference is </w:t>
      </w:r>
      <w:r w:rsidR="00372017">
        <w:rPr>
          <w:rFonts w:eastAsia="Arial" w:cs="Arial"/>
          <w:color w:val="000000" w:themeColor="text1"/>
          <w:szCs w:val="24"/>
        </w:rPr>
        <w:t xml:space="preserve">either (or both) of </w:t>
      </w:r>
      <w:r w:rsidR="007D7128" w:rsidRPr="007D7128">
        <w:rPr>
          <w:rFonts w:eastAsia="Arial" w:cs="Arial"/>
          <w:color w:val="000000" w:themeColor="text1"/>
          <w:szCs w:val="24"/>
        </w:rPr>
        <w:t>the la</w:t>
      </w:r>
      <w:r w:rsidR="00BF619D">
        <w:rPr>
          <w:rFonts w:eastAsia="Arial" w:cs="Arial"/>
          <w:color w:val="000000" w:themeColor="text1"/>
          <w:szCs w:val="24"/>
        </w:rPr>
        <w:t>s</w:t>
      </w:r>
      <w:r w:rsidR="007D7128" w:rsidRPr="007D7128">
        <w:rPr>
          <w:rFonts w:eastAsia="Arial" w:cs="Arial"/>
          <w:color w:val="000000" w:themeColor="text1"/>
          <w:szCs w:val="24"/>
        </w:rPr>
        <w:t>t</w:t>
      </w:r>
      <w:r w:rsidR="00372017">
        <w:rPr>
          <w:rFonts w:eastAsia="Arial" w:cs="Arial"/>
          <w:color w:val="000000" w:themeColor="text1"/>
          <w:szCs w:val="24"/>
        </w:rPr>
        <w:t xml:space="preserve"> two</w:t>
      </w:r>
      <w:r w:rsidR="007D7128" w:rsidRPr="007D7128">
        <w:rPr>
          <w:rFonts w:eastAsia="Arial" w:cs="Arial"/>
          <w:color w:val="000000" w:themeColor="text1"/>
          <w:szCs w:val="24"/>
        </w:rPr>
        <w:t xml:space="preserve">, </w:t>
      </w:r>
      <w:r w:rsidR="00731C4F">
        <w:rPr>
          <w:rFonts w:eastAsia="Arial" w:cs="Arial"/>
          <w:color w:val="000000" w:themeColor="text1"/>
          <w:szCs w:val="24"/>
        </w:rPr>
        <w:t xml:space="preserve">which it currently seems to be, </w:t>
      </w:r>
      <w:r w:rsidR="00127EE1">
        <w:rPr>
          <w:rFonts w:eastAsia="Arial" w:cs="Arial"/>
          <w:color w:val="000000" w:themeColor="text1"/>
          <w:szCs w:val="24"/>
        </w:rPr>
        <w:t xml:space="preserve">then a wide approach encompassing a larger number of </w:t>
      </w:r>
      <w:r w:rsidR="009747B6">
        <w:rPr>
          <w:rFonts w:eastAsia="Arial" w:cs="Arial"/>
          <w:color w:val="000000" w:themeColor="text1"/>
          <w:szCs w:val="24"/>
        </w:rPr>
        <w:t>procedures (such as CVAs and restructuring plans) is desirable</w:t>
      </w:r>
      <w:r w:rsidR="005303B5">
        <w:rPr>
          <w:rFonts w:eastAsia="Arial" w:cs="Arial"/>
          <w:color w:val="000000" w:themeColor="text1"/>
          <w:szCs w:val="24"/>
        </w:rPr>
        <w:t xml:space="preserve"> and logical to achieve this objective. Alternatively, if the policy preference is to support financing from a</w:t>
      </w:r>
      <w:r w:rsidR="00DC720A">
        <w:rPr>
          <w:rFonts w:eastAsia="Arial" w:cs="Arial"/>
          <w:color w:val="000000" w:themeColor="text1"/>
          <w:szCs w:val="24"/>
        </w:rPr>
        <w:t>n assignee/secured creditor, then it would seem p</w:t>
      </w:r>
      <w:r w:rsidR="00E648C1">
        <w:rPr>
          <w:rFonts w:eastAsia="Arial" w:cs="Arial"/>
          <w:color w:val="000000" w:themeColor="text1"/>
          <w:szCs w:val="24"/>
        </w:rPr>
        <w:t xml:space="preserve">referable to adopt a narrower approach limited to a small number of procedures. </w:t>
      </w:r>
      <w:r w:rsidR="00C37975">
        <w:rPr>
          <w:rFonts w:eastAsia="Arial" w:cs="Arial"/>
          <w:color w:val="000000" w:themeColor="text1"/>
          <w:szCs w:val="24"/>
        </w:rPr>
        <w:t>O</w:t>
      </w:r>
      <w:r w:rsidR="00F14846">
        <w:rPr>
          <w:rFonts w:eastAsia="Arial" w:cs="Arial"/>
          <w:color w:val="000000" w:themeColor="text1"/>
          <w:szCs w:val="24"/>
        </w:rPr>
        <w:t>n balance, our preference is in favour of the wider approac</w:t>
      </w:r>
      <w:r w:rsidR="00CE4A8A">
        <w:rPr>
          <w:rFonts w:eastAsia="Arial" w:cs="Arial"/>
          <w:color w:val="000000" w:themeColor="text1"/>
          <w:szCs w:val="24"/>
        </w:rPr>
        <w:t>h.</w:t>
      </w:r>
    </w:p>
    <w:p w14:paraId="09A77E98" w14:textId="77777777" w:rsidR="00A16CA5" w:rsidRDefault="00A16CA5" w:rsidP="00F9105B">
      <w:pPr>
        <w:jc w:val="both"/>
        <w:rPr>
          <w:rFonts w:eastAsia="Arial" w:cs="Arial"/>
          <w:color w:val="000000" w:themeColor="text1"/>
          <w:szCs w:val="24"/>
        </w:rPr>
      </w:pPr>
    </w:p>
    <w:p w14:paraId="5BD7BB54" w14:textId="268A1F3B" w:rsidR="008C69D2" w:rsidRDefault="00C37975" w:rsidP="00F9105B">
      <w:pPr>
        <w:jc w:val="both"/>
        <w:rPr>
          <w:rFonts w:eastAsia="Arial" w:cs="Arial"/>
          <w:color w:val="000000" w:themeColor="text1"/>
          <w:szCs w:val="24"/>
        </w:rPr>
      </w:pPr>
      <w:r>
        <w:rPr>
          <w:rFonts w:eastAsia="Arial" w:cs="Arial"/>
          <w:color w:val="000000" w:themeColor="text1"/>
          <w:szCs w:val="24"/>
        </w:rPr>
        <w:t>Nevertheless, t</w:t>
      </w:r>
      <w:r w:rsidR="008C69D2">
        <w:rPr>
          <w:rFonts w:eastAsia="Arial" w:cs="Arial"/>
          <w:color w:val="000000" w:themeColor="text1"/>
          <w:szCs w:val="24"/>
        </w:rPr>
        <w:t>here are</w:t>
      </w:r>
      <w:r>
        <w:rPr>
          <w:rFonts w:eastAsia="Arial" w:cs="Arial"/>
          <w:color w:val="000000" w:themeColor="text1"/>
          <w:szCs w:val="24"/>
        </w:rPr>
        <w:t xml:space="preserve"> </w:t>
      </w:r>
      <w:r w:rsidR="008C69D2">
        <w:rPr>
          <w:rFonts w:eastAsia="Arial" w:cs="Arial"/>
          <w:color w:val="000000" w:themeColor="text1"/>
          <w:szCs w:val="24"/>
        </w:rPr>
        <w:t xml:space="preserve">technical reasons </w:t>
      </w:r>
      <w:r w:rsidR="0010411C">
        <w:rPr>
          <w:rFonts w:eastAsia="Arial" w:cs="Arial"/>
          <w:color w:val="000000" w:themeColor="text1"/>
          <w:szCs w:val="24"/>
        </w:rPr>
        <w:t xml:space="preserve">available </w:t>
      </w:r>
      <w:r w:rsidR="008C69D2">
        <w:rPr>
          <w:rFonts w:eastAsia="Arial" w:cs="Arial"/>
          <w:color w:val="000000" w:themeColor="text1"/>
          <w:szCs w:val="24"/>
        </w:rPr>
        <w:t xml:space="preserve">for distinguishing between </w:t>
      </w:r>
      <w:r w:rsidR="00E55B13">
        <w:rPr>
          <w:rFonts w:eastAsia="Arial" w:cs="Arial"/>
          <w:color w:val="000000" w:themeColor="text1"/>
          <w:szCs w:val="24"/>
        </w:rPr>
        <w:t>different procedures</w:t>
      </w:r>
      <w:r w:rsidR="00820FB6">
        <w:rPr>
          <w:rFonts w:eastAsia="Arial" w:cs="Arial"/>
          <w:color w:val="000000" w:themeColor="text1"/>
          <w:szCs w:val="24"/>
        </w:rPr>
        <w:t xml:space="preserve">, </w:t>
      </w:r>
      <w:r>
        <w:rPr>
          <w:rFonts w:eastAsia="Arial" w:cs="Arial"/>
          <w:color w:val="000000" w:themeColor="text1"/>
          <w:szCs w:val="24"/>
        </w:rPr>
        <w:t>which could be used to support</w:t>
      </w:r>
      <w:r w:rsidR="00820FB6">
        <w:rPr>
          <w:rFonts w:eastAsia="Arial" w:cs="Arial"/>
          <w:color w:val="000000" w:themeColor="text1"/>
          <w:szCs w:val="24"/>
        </w:rPr>
        <w:t xml:space="preserve"> a narrower approach</w:t>
      </w:r>
      <w:r w:rsidR="00E55B13">
        <w:rPr>
          <w:rFonts w:eastAsia="Arial" w:cs="Arial"/>
          <w:color w:val="000000" w:themeColor="text1"/>
          <w:szCs w:val="24"/>
        </w:rPr>
        <w:t xml:space="preserve">. </w:t>
      </w:r>
      <w:r w:rsidR="0010411C">
        <w:rPr>
          <w:rFonts w:eastAsia="Arial" w:cs="Arial"/>
          <w:color w:val="000000" w:themeColor="text1"/>
          <w:szCs w:val="24"/>
        </w:rPr>
        <w:t>Some procedures involve all (or almost all) of a debtor’s estate</w:t>
      </w:r>
      <w:r w:rsidR="00971A17">
        <w:rPr>
          <w:rFonts w:eastAsia="Arial" w:cs="Arial"/>
          <w:color w:val="000000" w:themeColor="text1"/>
          <w:szCs w:val="24"/>
        </w:rPr>
        <w:t xml:space="preserve">, </w:t>
      </w:r>
      <w:r w:rsidR="004F6D3A">
        <w:rPr>
          <w:rFonts w:eastAsia="Arial" w:cs="Arial"/>
          <w:color w:val="000000" w:themeColor="text1"/>
          <w:szCs w:val="24"/>
        </w:rPr>
        <w:t>with the appointment of a third party</w:t>
      </w:r>
      <w:r w:rsidR="00F2402D">
        <w:rPr>
          <w:rFonts w:eastAsia="Arial" w:cs="Arial"/>
          <w:color w:val="000000" w:themeColor="text1"/>
          <w:szCs w:val="24"/>
        </w:rPr>
        <w:t xml:space="preserve"> to take control of </w:t>
      </w:r>
      <w:proofErr w:type="gramStart"/>
      <w:r w:rsidR="00F2402D">
        <w:rPr>
          <w:rFonts w:eastAsia="Arial" w:cs="Arial"/>
          <w:color w:val="000000" w:themeColor="text1"/>
          <w:szCs w:val="24"/>
        </w:rPr>
        <w:t>assets</w:t>
      </w:r>
      <w:r w:rsidR="004F6D3A">
        <w:rPr>
          <w:rFonts w:eastAsia="Arial" w:cs="Arial"/>
          <w:color w:val="000000" w:themeColor="text1"/>
          <w:szCs w:val="24"/>
        </w:rPr>
        <w:t xml:space="preserve">, </w:t>
      </w:r>
      <w:r w:rsidR="00971A17">
        <w:rPr>
          <w:rFonts w:eastAsia="Arial" w:cs="Arial"/>
          <w:color w:val="000000" w:themeColor="text1"/>
          <w:szCs w:val="24"/>
        </w:rPr>
        <w:t>and</w:t>
      </w:r>
      <w:proofErr w:type="gramEnd"/>
      <w:r w:rsidR="00971A17">
        <w:rPr>
          <w:rFonts w:eastAsia="Arial" w:cs="Arial"/>
          <w:color w:val="000000" w:themeColor="text1"/>
          <w:szCs w:val="24"/>
        </w:rPr>
        <w:t xml:space="preserve"> could be considered to most justify the protection of other creditors.</w:t>
      </w:r>
      <w:r w:rsidR="004F6D3A">
        <w:rPr>
          <w:rFonts w:eastAsia="Arial" w:cs="Arial"/>
          <w:color w:val="000000" w:themeColor="text1"/>
          <w:szCs w:val="24"/>
        </w:rPr>
        <w:t xml:space="preserve"> </w:t>
      </w:r>
      <w:r w:rsidR="005A5B38">
        <w:rPr>
          <w:rFonts w:eastAsia="Arial" w:cs="Arial"/>
          <w:color w:val="000000" w:themeColor="text1"/>
          <w:szCs w:val="24"/>
        </w:rPr>
        <w:t>In corporate insolvency law, l</w:t>
      </w:r>
      <w:r w:rsidR="00731C4F">
        <w:rPr>
          <w:rFonts w:eastAsia="Arial" w:cs="Arial"/>
          <w:color w:val="000000" w:themeColor="text1"/>
          <w:szCs w:val="24"/>
        </w:rPr>
        <w:t xml:space="preserve">iquidation, administration and administrative receivership </w:t>
      </w:r>
      <w:r w:rsidR="00F2402D">
        <w:rPr>
          <w:rFonts w:eastAsia="Arial" w:cs="Arial"/>
          <w:color w:val="000000" w:themeColor="text1"/>
          <w:szCs w:val="24"/>
        </w:rPr>
        <w:t xml:space="preserve">are in this category. </w:t>
      </w:r>
      <w:r w:rsidR="002A6483">
        <w:rPr>
          <w:rFonts w:eastAsia="Arial" w:cs="Arial"/>
          <w:color w:val="000000" w:themeColor="text1"/>
          <w:szCs w:val="24"/>
        </w:rPr>
        <w:t>In non-corporate insolvency law, sequestration</w:t>
      </w:r>
      <w:r w:rsidR="002401EE">
        <w:rPr>
          <w:rFonts w:eastAsia="Arial" w:cs="Arial"/>
          <w:color w:val="000000" w:themeColor="text1"/>
          <w:szCs w:val="24"/>
        </w:rPr>
        <w:t>, bankruptcy</w:t>
      </w:r>
      <w:r w:rsidR="002A6483">
        <w:rPr>
          <w:rFonts w:eastAsia="Arial" w:cs="Arial"/>
          <w:color w:val="000000" w:themeColor="text1"/>
          <w:szCs w:val="24"/>
        </w:rPr>
        <w:t xml:space="preserve"> and </w:t>
      </w:r>
      <w:r w:rsidR="00B5616A">
        <w:rPr>
          <w:rFonts w:eastAsia="Arial" w:cs="Arial"/>
          <w:color w:val="000000" w:themeColor="text1"/>
          <w:szCs w:val="24"/>
        </w:rPr>
        <w:t xml:space="preserve">a trust deed over all or substantially the whole of the debtor’s property would </w:t>
      </w:r>
      <w:r w:rsidR="002401EE">
        <w:rPr>
          <w:rFonts w:eastAsia="Arial" w:cs="Arial"/>
          <w:color w:val="000000" w:themeColor="text1"/>
          <w:szCs w:val="24"/>
        </w:rPr>
        <w:t xml:space="preserve">qualify. </w:t>
      </w:r>
      <w:r w:rsidR="004A0B8B">
        <w:rPr>
          <w:rFonts w:eastAsia="Arial" w:cs="Arial"/>
          <w:color w:val="000000" w:themeColor="text1"/>
          <w:szCs w:val="24"/>
        </w:rPr>
        <w:t xml:space="preserve">By contrast, there are other procedures which are </w:t>
      </w:r>
      <w:r w:rsidR="00B87B72">
        <w:rPr>
          <w:rFonts w:eastAsia="Arial" w:cs="Arial"/>
          <w:color w:val="000000" w:themeColor="text1"/>
          <w:szCs w:val="24"/>
        </w:rPr>
        <w:t xml:space="preserve">primarily debt-oriented and do not necessarily impact directly upon the </w:t>
      </w:r>
      <w:r w:rsidR="005A5B38">
        <w:rPr>
          <w:rFonts w:eastAsia="Arial" w:cs="Arial"/>
          <w:color w:val="000000" w:themeColor="text1"/>
          <w:szCs w:val="24"/>
        </w:rPr>
        <w:t xml:space="preserve">debtor’s property, and may not involve the appointment of a third party to take control of the estate. In corporate insolvency law, </w:t>
      </w:r>
      <w:r w:rsidR="00DE5F20">
        <w:rPr>
          <w:rFonts w:eastAsia="Arial" w:cs="Arial"/>
          <w:color w:val="000000" w:themeColor="text1"/>
          <w:szCs w:val="24"/>
        </w:rPr>
        <w:t xml:space="preserve">CVAs and restructuring plans are in this category (as are schemes of arrangement, which are not currently included). </w:t>
      </w:r>
      <w:r w:rsidR="00876991">
        <w:rPr>
          <w:rFonts w:eastAsia="Arial" w:cs="Arial"/>
          <w:color w:val="000000" w:themeColor="text1"/>
          <w:szCs w:val="24"/>
        </w:rPr>
        <w:t xml:space="preserve">For non-corporate insolvency, </w:t>
      </w:r>
      <w:r w:rsidR="008D5C14">
        <w:rPr>
          <w:rFonts w:eastAsia="Arial" w:cs="Arial"/>
          <w:color w:val="000000" w:themeColor="text1"/>
          <w:szCs w:val="24"/>
        </w:rPr>
        <w:t>trust deeds for creditors that affect only limited</w:t>
      </w:r>
      <w:r w:rsidR="009D6CA0">
        <w:rPr>
          <w:rFonts w:eastAsia="Arial" w:cs="Arial"/>
          <w:color w:val="000000" w:themeColor="text1"/>
          <w:szCs w:val="24"/>
        </w:rPr>
        <w:t xml:space="preserve"> assets, compositions, arrangements, and debt payment programmes would qualify.</w:t>
      </w:r>
    </w:p>
    <w:p w14:paraId="5FE221F9" w14:textId="77777777" w:rsidR="00383203" w:rsidRDefault="00383203" w:rsidP="00F9105B">
      <w:pPr>
        <w:jc w:val="both"/>
        <w:rPr>
          <w:rFonts w:eastAsia="Arial" w:cs="Arial"/>
          <w:color w:val="000000" w:themeColor="text1"/>
          <w:szCs w:val="24"/>
        </w:rPr>
      </w:pPr>
    </w:p>
    <w:p w14:paraId="251F61EC" w14:textId="1E066A34" w:rsidR="003434F8" w:rsidRDefault="002E769D" w:rsidP="00F9105B">
      <w:pPr>
        <w:jc w:val="both"/>
        <w:rPr>
          <w:rFonts w:eastAsia="Arial" w:cs="Arial"/>
          <w:color w:val="000000" w:themeColor="text1"/>
          <w:szCs w:val="24"/>
        </w:rPr>
      </w:pPr>
      <w:r>
        <w:rPr>
          <w:rFonts w:eastAsia="Arial" w:cs="Arial"/>
          <w:color w:val="000000" w:themeColor="text1"/>
          <w:szCs w:val="24"/>
        </w:rPr>
        <w:t xml:space="preserve">Distinguishing </w:t>
      </w:r>
      <w:r w:rsidR="00E61E15">
        <w:rPr>
          <w:rFonts w:eastAsia="Arial" w:cs="Arial"/>
          <w:color w:val="000000" w:themeColor="text1"/>
          <w:szCs w:val="24"/>
        </w:rPr>
        <w:t xml:space="preserve">between procedures </w:t>
      </w:r>
      <w:r>
        <w:rPr>
          <w:rFonts w:eastAsia="Arial" w:cs="Arial"/>
          <w:color w:val="000000" w:themeColor="text1"/>
          <w:szCs w:val="24"/>
        </w:rPr>
        <w:t xml:space="preserve">on other grounds can be more challenging. For example, if the intention is to focus </w:t>
      </w:r>
      <w:r w:rsidR="00E61E15">
        <w:rPr>
          <w:rFonts w:eastAsia="Arial" w:cs="Arial"/>
          <w:color w:val="000000" w:themeColor="text1"/>
          <w:szCs w:val="24"/>
        </w:rPr>
        <w:t xml:space="preserve">on procedures where insolvency is a pre-condition, this would </w:t>
      </w:r>
      <w:r w:rsidR="00BA69BD">
        <w:rPr>
          <w:rFonts w:eastAsia="Arial" w:cs="Arial"/>
          <w:color w:val="000000" w:themeColor="text1"/>
          <w:szCs w:val="24"/>
        </w:rPr>
        <w:t>technically exclude e.g. administration, administrative receivership</w:t>
      </w:r>
      <w:r w:rsidR="00787927">
        <w:rPr>
          <w:rFonts w:eastAsia="Arial" w:cs="Arial"/>
          <w:color w:val="000000" w:themeColor="text1"/>
          <w:szCs w:val="24"/>
        </w:rPr>
        <w:t>, and CVAs</w:t>
      </w:r>
      <w:r w:rsidR="001C0198">
        <w:rPr>
          <w:rFonts w:eastAsia="Arial" w:cs="Arial"/>
          <w:color w:val="000000" w:themeColor="text1"/>
          <w:szCs w:val="24"/>
        </w:rPr>
        <w:t xml:space="preserve"> (at least in some instances</w:t>
      </w:r>
      <w:r w:rsidR="00B53A50">
        <w:rPr>
          <w:rFonts w:eastAsia="Arial" w:cs="Arial"/>
          <w:color w:val="000000" w:themeColor="text1"/>
          <w:szCs w:val="24"/>
        </w:rPr>
        <w:t xml:space="preserve"> for each of these procedures</w:t>
      </w:r>
      <w:r w:rsidR="001C0198">
        <w:rPr>
          <w:rFonts w:eastAsia="Arial" w:cs="Arial"/>
          <w:color w:val="000000" w:themeColor="text1"/>
          <w:szCs w:val="24"/>
        </w:rPr>
        <w:t>)</w:t>
      </w:r>
      <w:r w:rsidR="00787927">
        <w:rPr>
          <w:rFonts w:eastAsia="Arial" w:cs="Arial"/>
          <w:color w:val="000000" w:themeColor="text1"/>
          <w:szCs w:val="24"/>
        </w:rPr>
        <w:t xml:space="preserve"> among other procedures. </w:t>
      </w:r>
      <w:r w:rsidR="00B14650">
        <w:rPr>
          <w:rFonts w:eastAsia="Arial" w:cs="Arial"/>
          <w:color w:val="000000" w:themeColor="text1"/>
          <w:szCs w:val="24"/>
        </w:rPr>
        <w:t>A specific condition could be included whereby procedures will only be included if the debtor is factually insolvent,</w:t>
      </w:r>
      <w:r w:rsidR="004E4DA9">
        <w:rPr>
          <w:rFonts w:eastAsia="Arial" w:cs="Arial"/>
          <w:color w:val="000000" w:themeColor="text1"/>
          <w:szCs w:val="24"/>
        </w:rPr>
        <w:t xml:space="preserve"> which could thereby incorporate insolvent </w:t>
      </w:r>
      <w:r w:rsidR="004E4DA9">
        <w:rPr>
          <w:rFonts w:eastAsia="Arial" w:cs="Arial"/>
          <w:color w:val="000000" w:themeColor="text1"/>
          <w:szCs w:val="24"/>
        </w:rPr>
        <w:lastRenderedPageBreak/>
        <w:t>administrations, administrative receiverships and CVAs and so on</w:t>
      </w:r>
      <w:r w:rsidR="00CD1166">
        <w:rPr>
          <w:rFonts w:eastAsia="Arial" w:cs="Arial"/>
          <w:color w:val="000000" w:themeColor="text1"/>
          <w:szCs w:val="24"/>
        </w:rPr>
        <w:t>,</w:t>
      </w:r>
      <w:r w:rsidR="00B14650">
        <w:rPr>
          <w:rFonts w:eastAsia="Arial" w:cs="Arial"/>
          <w:color w:val="000000" w:themeColor="text1"/>
          <w:szCs w:val="24"/>
        </w:rPr>
        <w:t xml:space="preserve"> but that would create </w:t>
      </w:r>
      <w:r w:rsidR="003434F8">
        <w:rPr>
          <w:rFonts w:eastAsia="Arial" w:cs="Arial"/>
          <w:color w:val="000000" w:themeColor="text1"/>
          <w:szCs w:val="24"/>
        </w:rPr>
        <w:t xml:space="preserve">undesirable </w:t>
      </w:r>
      <w:r w:rsidR="00B14650">
        <w:rPr>
          <w:rFonts w:eastAsia="Arial" w:cs="Arial"/>
          <w:color w:val="000000" w:themeColor="text1"/>
          <w:szCs w:val="24"/>
        </w:rPr>
        <w:t xml:space="preserve">uncertainty. </w:t>
      </w:r>
      <w:r w:rsidR="0046056F">
        <w:rPr>
          <w:rFonts w:eastAsia="Arial" w:cs="Arial"/>
          <w:color w:val="000000" w:themeColor="text1"/>
          <w:szCs w:val="24"/>
        </w:rPr>
        <w:t>Nevertheless, the absence of a requirement for financial distr</w:t>
      </w:r>
      <w:r w:rsidR="0086084A">
        <w:rPr>
          <w:rFonts w:eastAsia="Arial" w:cs="Arial"/>
          <w:color w:val="000000" w:themeColor="text1"/>
          <w:szCs w:val="24"/>
        </w:rPr>
        <w:t xml:space="preserve">ess or insolvency may be a factor to </w:t>
      </w:r>
      <w:proofErr w:type="gramStart"/>
      <w:r w:rsidR="0086084A">
        <w:rPr>
          <w:rFonts w:eastAsia="Arial" w:cs="Arial"/>
          <w:color w:val="000000" w:themeColor="text1"/>
          <w:szCs w:val="24"/>
        </w:rPr>
        <w:t>take into account</w:t>
      </w:r>
      <w:proofErr w:type="gramEnd"/>
      <w:r w:rsidR="0086084A">
        <w:rPr>
          <w:rFonts w:eastAsia="Arial" w:cs="Arial"/>
          <w:color w:val="000000" w:themeColor="text1"/>
          <w:szCs w:val="24"/>
        </w:rPr>
        <w:t xml:space="preserve"> and which, combined with other factors, may serve to exclude a process, such as </w:t>
      </w:r>
      <w:r w:rsidR="00F86877">
        <w:rPr>
          <w:rFonts w:eastAsia="Arial" w:cs="Arial"/>
          <w:color w:val="000000" w:themeColor="text1"/>
          <w:szCs w:val="24"/>
        </w:rPr>
        <w:t>schemes of arrangement under Pt 26 of the Companies Act 2006, which can be contrasted with Pt 26A restructuring plans,</w:t>
      </w:r>
      <w:r w:rsidR="00B35BEF">
        <w:rPr>
          <w:rFonts w:eastAsia="Arial" w:cs="Arial"/>
          <w:color w:val="000000" w:themeColor="text1"/>
          <w:szCs w:val="24"/>
        </w:rPr>
        <w:t xml:space="preserve"> as the latter require financial distress.</w:t>
      </w:r>
      <w:r w:rsidR="009420DD">
        <w:rPr>
          <w:rFonts w:eastAsia="Arial" w:cs="Arial"/>
          <w:color w:val="000000" w:themeColor="text1"/>
          <w:szCs w:val="24"/>
        </w:rPr>
        <w:t xml:space="preserve"> As noted in R Mokal, “</w:t>
      </w:r>
      <w:r w:rsidR="009420DD" w:rsidRPr="009420DD">
        <w:rPr>
          <w:rFonts w:eastAsia="Arial" w:cs="Arial"/>
          <w:color w:val="000000" w:themeColor="text1"/>
          <w:szCs w:val="24"/>
        </w:rPr>
        <w:t xml:space="preserve">What is an </w:t>
      </w:r>
      <w:r w:rsidR="009420DD">
        <w:rPr>
          <w:rFonts w:eastAsia="Arial" w:cs="Arial"/>
          <w:color w:val="000000" w:themeColor="text1"/>
          <w:szCs w:val="24"/>
        </w:rPr>
        <w:t>I</w:t>
      </w:r>
      <w:r w:rsidR="009420DD" w:rsidRPr="009420DD">
        <w:rPr>
          <w:rFonts w:eastAsia="Arial" w:cs="Arial"/>
          <w:color w:val="000000" w:themeColor="text1"/>
          <w:szCs w:val="24"/>
        </w:rPr>
        <w:t xml:space="preserve">nsolvency </w:t>
      </w:r>
      <w:r w:rsidR="009420DD">
        <w:rPr>
          <w:rFonts w:eastAsia="Arial" w:cs="Arial"/>
          <w:color w:val="000000" w:themeColor="text1"/>
          <w:szCs w:val="24"/>
        </w:rPr>
        <w:t>P</w:t>
      </w:r>
      <w:r w:rsidR="009420DD" w:rsidRPr="009420DD">
        <w:rPr>
          <w:rFonts w:eastAsia="Arial" w:cs="Arial"/>
          <w:color w:val="000000" w:themeColor="text1"/>
          <w:szCs w:val="24"/>
        </w:rPr>
        <w:t xml:space="preserve">roceeding? </w:t>
      </w:r>
      <w:proofErr w:type="spellStart"/>
      <w:r w:rsidR="009420DD" w:rsidRPr="009420DD">
        <w:rPr>
          <w:rFonts w:eastAsia="Arial" w:cs="Arial"/>
          <w:i/>
          <w:iCs/>
          <w:color w:val="000000" w:themeColor="text1"/>
          <w:szCs w:val="24"/>
        </w:rPr>
        <w:t>Gategroup</w:t>
      </w:r>
      <w:proofErr w:type="spellEnd"/>
      <w:r w:rsidR="009420DD" w:rsidRPr="009420DD">
        <w:rPr>
          <w:rFonts w:eastAsia="Arial" w:cs="Arial"/>
          <w:color w:val="000000" w:themeColor="text1"/>
          <w:szCs w:val="24"/>
        </w:rPr>
        <w:t xml:space="preserve"> </w:t>
      </w:r>
      <w:r w:rsidR="009420DD">
        <w:rPr>
          <w:rFonts w:eastAsia="Arial" w:cs="Arial"/>
          <w:color w:val="000000" w:themeColor="text1"/>
          <w:szCs w:val="24"/>
        </w:rPr>
        <w:t>L</w:t>
      </w:r>
      <w:r w:rsidR="009420DD" w:rsidRPr="009420DD">
        <w:rPr>
          <w:rFonts w:eastAsia="Arial" w:cs="Arial"/>
          <w:color w:val="000000" w:themeColor="text1"/>
          <w:szCs w:val="24"/>
        </w:rPr>
        <w:t xml:space="preserve">ands in a </w:t>
      </w:r>
      <w:r w:rsidR="009420DD">
        <w:rPr>
          <w:rFonts w:eastAsia="Arial" w:cs="Arial"/>
          <w:color w:val="000000" w:themeColor="text1"/>
          <w:szCs w:val="24"/>
        </w:rPr>
        <w:t>G</w:t>
      </w:r>
      <w:r w:rsidR="009420DD" w:rsidRPr="009420DD">
        <w:rPr>
          <w:rFonts w:eastAsia="Arial" w:cs="Arial"/>
          <w:color w:val="000000" w:themeColor="text1"/>
          <w:szCs w:val="24"/>
        </w:rPr>
        <w:t xml:space="preserve">ated </w:t>
      </w:r>
      <w:r w:rsidR="009420DD">
        <w:rPr>
          <w:rFonts w:eastAsia="Arial" w:cs="Arial"/>
          <w:color w:val="000000" w:themeColor="text1"/>
          <w:szCs w:val="24"/>
        </w:rPr>
        <w:t>C</w:t>
      </w:r>
      <w:r w:rsidR="009420DD" w:rsidRPr="009420DD">
        <w:rPr>
          <w:rFonts w:eastAsia="Arial" w:cs="Arial"/>
          <w:color w:val="000000" w:themeColor="text1"/>
          <w:szCs w:val="24"/>
        </w:rPr>
        <w:t>ommunity</w:t>
      </w:r>
      <w:r w:rsidR="009420DD">
        <w:rPr>
          <w:rFonts w:eastAsia="Arial" w:cs="Arial"/>
          <w:color w:val="000000" w:themeColor="text1"/>
          <w:szCs w:val="24"/>
        </w:rPr>
        <w:t>” (2022) 31(3) International Insolvency Review</w:t>
      </w:r>
      <w:r w:rsidR="00C92E6E">
        <w:rPr>
          <w:rFonts w:eastAsia="Arial" w:cs="Arial"/>
          <w:color w:val="000000" w:themeColor="text1"/>
          <w:szCs w:val="24"/>
        </w:rPr>
        <w:t xml:space="preserve"> 418,</w:t>
      </w:r>
      <w:r w:rsidR="009420DD">
        <w:rPr>
          <w:rFonts w:eastAsia="Arial" w:cs="Arial"/>
          <w:color w:val="000000" w:themeColor="text1"/>
          <w:szCs w:val="24"/>
        </w:rPr>
        <w:t xml:space="preserve"> scheme</w:t>
      </w:r>
      <w:r w:rsidR="00610A50">
        <w:rPr>
          <w:rFonts w:eastAsia="Arial" w:cs="Arial"/>
          <w:color w:val="000000" w:themeColor="text1"/>
          <w:szCs w:val="24"/>
        </w:rPr>
        <w:t>s</w:t>
      </w:r>
      <w:r w:rsidR="009420DD">
        <w:rPr>
          <w:rFonts w:eastAsia="Arial" w:cs="Arial"/>
          <w:color w:val="000000" w:themeColor="text1"/>
          <w:szCs w:val="24"/>
        </w:rPr>
        <w:t xml:space="preserve"> of arrangement may be considered insolvency procedure</w:t>
      </w:r>
      <w:r w:rsidR="00916EDF">
        <w:rPr>
          <w:rFonts w:eastAsia="Arial" w:cs="Arial"/>
          <w:color w:val="000000" w:themeColor="text1"/>
          <w:szCs w:val="24"/>
        </w:rPr>
        <w:t>s</w:t>
      </w:r>
      <w:r w:rsidR="009420DD">
        <w:rPr>
          <w:rFonts w:eastAsia="Arial" w:cs="Arial"/>
          <w:color w:val="000000" w:themeColor="text1"/>
          <w:szCs w:val="24"/>
        </w:rPr>
        <w:t xml:space="preserve"> in some scenarios, but we are willing to accept their omission in the current context</w:t>
      </w:r>
      <w:r w:rsidR="00C92E6E">
        <w:rPr>
          <w:rFonts w:eastAsia="Arial" w:cs="Arial"/>
          <w:color w:val="000000" w:themeColor="text1"/>
          <w:szCs w:val="24"/>
        </w:rPr>
        <w:t>, not least because of the absence of a general requirement for financial distress, the potential complexity of how to adequately include relevant schemes and the unlikeliness of this happening at the present stage</w:t>
      </w:r>
      <w:r w:rsidR="009420DD">
        <w:rPr>
          <w:rFonts w:eastAsia="Arial" w:cs="Arial"/>
          <w:color w:val="000000" w:themeColor="text1"/>
          <w:szCs w:val="24"/>
        </w:rPr>
        <w:t>.</w:t>
      </w:r>
    </w:p>
    <w:p w14:paraId="4DB01B05" w14:textId="77777777" w:rsidR="003434F8" w:rsidRDefault="003434F8" w:rsidP="00F9105B">
      <w:pPr>
        <w:jc w:val="both"/>
        <w:rPr>
          <w:rFonts w:eastAsia="Arial" w:cs="Arial"/>
          <w:color w:val="000000" w:themeColor="text1"/>
          <w:szCs w:val="24"/>
        </w:rPr>
      </w:pPr>
    </w:p>
    <w:p w14:paraId="67AF3F88" w14:textId="54AA5CE1" w:rsidR="00A02820" w:rsidRDefault="00A02820" w:rsidP="00F9105B">
      <w:pPr>
        <w:jc w:val="both"/>
        <w:rPr>
          <w:rFonts w:eastAsia="Arial" w:cs="Arial"/>
          <w:color w:val="000000" w:themeColor="text1"/>
          <w:szCs w:val="24"/>
        </w:rPr>
      </w:pPr>
      <w:r>
        <w:rPr>
          <w:rFonts w:eastAsia="Arial" w:cs="Arial"/>
          <w:color w:val="000000" w:themeColor="text1"/>
          <w:szCs w:val="24"/>
        </w:rPr>
        <w:t xml:space="preserve">While there may be some fears about </w:t>
      </w:r>
      <w:r w:rsidR="00202DA2">
        <w:rPr>
          <w:rFonts w:eastAsia="Arial" w:cs="Arial"/>
          <w:color w:val="000000" w:themeColor="text1"/>
          <w:szCs w:val="24"/>
        </w:rPr>
        <w:t xml:space="preserve">debtors or other creditors initiating certain insolvency procedures to defeat the interests of </w:t>
      </w:r>
      <w:r w:rsidR="00CC02E4">
        <w:rPr>
          <w:rFonts w:eastAsia="Arial" w:cs="Arial"/>
          <w:color w:val="000000" w:themeColor="text1"/>
          <w:szCs w:val="24"/>
        </w:rPr>
        <w:t>a</w:t>
      </w:r>
      <w:r w:rsidR="001C0198">
        <w:rPr>
          <w:rFonts w:eastAsia="Arial" w:cs="Arial"/>
          <w:color w:val="000000" w:themeColor="text1"/>
          <w:szCs w:val="24"/>
        </w:rPr>
        <w:t xml:space="preserve"> </w:t>
      </w:r>
      <w:r w:rsidR="00BB5735">
        <w:rPr>
          <w:rFonts w:eastAsia="Arial" w:cs="Arial"/>
          <w:color w:val="000000" w:themeColor="text1"/>
          <w:szCs w:val="24"/>
        </w:rPr>
        <w:t>potential</w:t>
      </w:r>
      <w:r w:rsidR="001C0198">
        <w:rPr>
          <w:rFonts w:eastAsia="Arial" w:cs="Arial"/>
          <w:color w:val="000000" w:themeColor="text1"/>
          <w:szCs w:val="24"/>
        </w:rPr>
        <w:t xml:space="preserve"> secured creditor or assignee, </w:t>
      </w:r>
      <w:r w:rsidR="00782CE6">
        <w:rPr>
          <w:rFonts w:eastAsia="Arial" w:cs="Arial"/>
          <w:color w:val="000000" w:themeColor="text1"/>
          <w:szCs w:val="24"/>
        </w:rPr>
        <w:t xml:space="preserve">that risk may be overplayed, as a party is unlikely to take the step of </w:t>
      </w:r>
      <w:proofErr w:type="gramStart"/>
      <w:r w:rsidR="00782CE6">
        <w:rPr>
          <w:rFonts w:eastAsia="Arial" w:cs="Arial"/>
          <w:color w:val="000000" w:themeColor="text1"/>
          <w:szCs w:val="24"/>
        </w:rPr>
        <w:t>entering into</w:t>
      </w:r>
      <w:proofErr w:type="gramEnd"/>
      <w:r w:rsidR="00782CE6">
        <w:rPr>
          <w:rFonts w:eastAsia="Arial" w:cs="Arial"/>
          <w:color w:val="000000" w:themeColor="text1"/>
          <w:szCs w:val="24"/>
        </w:rPr>
        <w:t xml:space="preserve"> an insolvency procedure lightly. In addition,</w:t>
      </w:r>
      <w:r w:rsidR="00594BFA">
        <w:rPr>
          <w:rFonts w:eastAsia="Arial" w:cs="Arial"/>
          <w:color w:val="000000" w:themeColor="text1"/>
          <w:szCs w:val="24"/>
        </w:rPr>
        <w:t xml:space="preserve"> </w:t>
      </w:r>
      <w:r w:rsidR="00F35E9F">
        <w:rPr>
          <w:rFonts w:eastAsia="Arial" w:cs="Arial"/>
          <w:color w:val="000000" w:themeColor="text1"/>
          <w:szCs w:val="24"/>
        </w:rPr>
        <w:t xml:space="preserve">if only some insolvency procedures are included, this </w:t>
      </w:r>
      <w:r w:rsidR="005225FC">
        <w:rPr>
          <w:rFonts w:eastAsia="Arial" w:cs="Arial"/>
          <w:color w:val="000000" w:themeColor="text1"/>
          <w:szCs w:val="24"/>
        </w:rPr>
        <w:t>may</w:t>
      </w:r>
      <w:r w:rsidR="00F35E9F">
        <w:rPr>
          <w:rFonts w:eastAsia="Arial" w:cs="Arial"/>
          <w:color w:val="000000" w:themeColor="text1"/>
          <w:szCs w:val="24"/>
        </w:rPr>
        <w:t xml:space="preserve"> incentivise </w:t>
      </w:r>
      <w:r w:rsidR="005225FC">
        <w:rPr>
          <w:rFonts w:eastAsia="Arial" w:cs="Arial"/>
          <w:color w:val="000000" w:themeColor="text1"/>
          <w:szCs w:val="24"/>
        </w:rPr>
        <w:t xml:space="preserve">excluded procedures for </w:t>
      </w:r>
      <w:r w:rsidR="00EF5C24">
        <w:rPr>
          <w:rFonts w:eastAsia="Arial" w:cs="Arial"/>
          <w:color w:val="000000" w:themeColor="text1"/>
          <w:szCs w:val="24"/>
        </w:rPr>
        <w:t xml:space="preserve">the </w:t>
      </w:r>
      <w:r w:rsidR="00BB5735">
        <w:rPr>
          <w:rFonts w:eastAsia="Arial" w:cs="Arial"/>
          <w:color w:val="000000" w:themeColor="text1"/>
          <w:szCs w:val="24"/>
        </w:rPr>
        <w:t xml:space="preserve">potential </w:t>
      </w:r>
      <w:r w:rsidR="00EF5C24">
        <w:rPr>
          <w:rFonts w:eastAsia="Arial" w:cs="Arial"/>
          <w:color w:val="000000" w:themeColor="text1"/>
          <w:szCs w:val="24"/>
        </w:rPr>
        <w:t xml:space="preserve">secured creditor or assignee </w:t>
      </w:r>
      <w:r w:rsidR="003858E8">
        <w:rPr>
          <w:rFonts w:eastAsia="Arial" w:cs="Arial"/>
          <w:color w:val="000000" w:themeColor="text1"/>
          <w:szCs w:val="24"/>
        </w:rPr>
        <w:t>to protect their own interests</w:t>
      </w:r>
      <w:r w:rsidR="005225FC">
        <w:rPr>
          <w:rFonts w:eastAsia="Arial" w:cs="Arial"/>
          <w:color w:val="000000" w:themeColor="text1"/>
          <w:szCs w:val="24"/>
        </w:rPr>
        <w:t xml:space="preserve">, albeit that there may be difficulties for them </w:t>
      </w:r>
      <w:r w:rsidR="006A2D2B">
        <w:rPr>
          <w:rFonts w:eastAsia="Arial" w:cs="Arial"/>
          <w:color w:val="000000" w:themeColor="text1"/>
          <w:szCs w:val="24"/>
        </w:rPr>
        <w:t>to directly initiate at least some of these</w:t>
      </w:r>
      <w:r w:rsidR="003858E8">
        <w:rPr>
          <w:rFonts w:eastAsia="Arial" w:cs="Arial"/>
          <w:color w:val="000000" w:themeColor="text1"/>
          <w:szCs w:val="24"/>
        </w:rPr>
        <w:t xml:space="preserve">. </w:t>
      </w:r>
      <w:r w:rsidR="00A32C61">
        <w:rPr>
          <w:rFonts w:eastAsia="Arial" w:cs="Arial"/>
          <w:color w:val="000000" w:themeColor="text1"/>
          <w:szCs w:val="24"/>
        </w:rPr>
        <w:t>The voting</w:t>
      </w:r>
      <w:r w:rsidR="00200469">
        <w:rPr>
          <w:rFonts w:eastAsia="Arial" w:cs="Arial"/>
          <w:color w:val="000000" w:themeColor="text1"/>
          <w:szCs w:val="24"/>
        </w:rPr>
        <w:t xml:space="preserve"> and approval</w:t>
      </w:r>
      <w:r w:rsidR="00A32C61">
        <w:rPr>
          <w:rFonts w:eastAsia="Arial" w:cs="Arial"/>
          <w:color w:val="000000" w:themeColor="text1"/>
          <w:szCs w:val="24"/>
        </w:rPr>
        <w:t xml:space="preserve"> mechanisms that exist in procedures such as CVAs and restructuring plans </w:t>
      </w:r>
      <w:r w:rsidR="00200469">
        <w:rPr>
          <w:rFonts w:eastAsia="Arial" w:cs="Arial"/>
          <w:color w:val="000000" w:themeColor="text1"/>
          <w:szCs w:val="24"/>
        </w:rPr>
        <w:t>do give some prot</w:t>
      </w:r>
      <w:r w:rsidR="006E187D">
        <w:rPr>
          <w:rFonts w:eastAsia="Arial" w:cs="Arial"/>
          <w:color w:val="000000" w:themeColor="text1"/>
          <w:szCs w:val="24"/>
        </w:rPr>
        <w:t>ection to creditors generally and special protection to secured creditors (</w:t>
      </w:r>
      <w:r w:rsidR="00200469" w:rsidRPr="00F9105B">
        <w:rPr>
          <w:rFonts w:eastAsia="Arial" w:cs="Arial"/>
          <w:color w:val="000000" w:themeColor="text1"/>
          <w:szCs w:val="24"/>
        </w:rPr>
        <w:t>subject to e.g. cross-class cramdown for Pt 26A plans</w:t>
      </w:r>
      <w:r w:rsidR="006E187D">
        <w:rPr>
          <w:rFonts w:eastAsia="Arial" w:cs="Arial"/>
          <w:color w:val="000000" w:themeColor="text1"/>
          <w:szCs w:val="24"/>
        </w:rPr>
        <w:t xml:space="preserve">, but </w:t>
      </w:r>
      <w:r w:rsidR="00200469" w:rsidRPr="00F9105B">
        <w:rPr>
          <w:rFonts w:eastAsia="Arial" w:cs="Arial"/>
          <w:color w:val="000000" w:themeColor="text1"/>
          <w:szCs w:val="24"/>
        </w:rPr>
        <w:t xml:space="preserve">which may be unlikely for such creditors). </w:t>
      </w:r>
      <w:r w:rsidR="000B5B6E" w:rsidRPr="000B5B6E">
        <w:rPr>
          <w:rFonts w:eastAsia="Arial" w:cs="Arial"/>
          <w:color w:val="000000" w:themeColor="text1"/>
          <w:szCs w:val="24"/>
        </w:rPr>
        <w:t>Where there</w:t>
      </w:r>
      <w:r w:rsidR="000B5B6E">
        <w:rPr>
          <w:rFonts w:eastAsia="Arial" w:cs="Arial"/>
          <w:color w:val="000000" w:themeColor="text1"/>
          <w:szCs w:val="24"/>
        </w:rPr>
        <w:t xml:space="preserve"> is</w:t>
      </w:r>
      <w:r w:rsidR="000B5B6E" w:rsidRPr="000B5B6E">
        <w:rPr>
          <w:rFonts w:eastAsia="Arial" w:cs="Arial"/>
          <w:color w:val="000000" w:themeColor="text1"/>
          <w:szCs w:val="24"/>
        </w:rPr>
        <w:t xml:space="preserve"> an assignation or pledge of future property and the property is</w:t>
      </w:r>
      <w:r w:rsidR="000B5B6E">
        <w:rPr>
          <w:rFonts w:eastAsia="Arial" w:cs="Arial"/>
          <w:color w:val="000000" w:themeColor="text1"/>
          <w:szCs w:val="24"/>
        </w:rPr>
        <w:t xml:space="preserve"> </w:t>
      </w:r>
      <w:r w:rsidR="000B5B6E" w:rsidRPr="000B5B6E">
        <w:rPr>
          <w:rFonts w:eastAsia="Arial" w:cs="Arial"/>
          <w:color w:val="000000" w:themeColor="text1"/>
          <w:szCs w:val="24"/>
        </w:rPr>
        <w:t>n</w:t>
      </w:r>
      <w:r w:rsidR="000B5B6E">
        <w:rPr>
          <w:rFonts w:eastAsia="Arial" w:cs="Arial"/>
          <w:color w:val="000000" w:themeColor="text1"/>
          <w:szCs w:val="24"/>
        </w:rPr>
        <w:t>o</w:t>
      </w:r>
      <w:r w:rsidR="000B5B6E" w:rsidRPr="000B5B6E">
        <w:rPr>
          <w:rFonts w:eastAsia="Arial" w:cs="Arial"/>
          <w:color w:val="000000" w:themeColor="text1"/>
          <w:szCs w:val="24"/>
        </w:rPr>
        <w:t xml:space="preserve">t yet acquired by the cedent/pledgor by the time of an insolvency procedure, then the counterparty is only a potential assignee or potential secured creditor at that </w:t>
      </w:r>
      <w:r w:rsidR="000B5B6E">
        <w:rPr>
          <w:rFonts w:eastAsia="Arial" w:cs="Arial"/>
          <w:color w:val="000000" w:themeColor="text1"/>
          <w:szCs w:val="24"/>
        </w:rPr>
        <w:t xml:space="preserve">point. (However, </w:t>
      </w:r>
      <w:r w:rsidR="000B5B6E" w:rsidRPr="000B5B6E">
        <w:rPr>
          <w:rFonts w:eastAsia="Arial" w:cs="Arial"/>
          <w:color w:val="000000" w:themeColor="text1"/>
          <w:szCs w:val="24"/>
        </w:rPr>
        <w:t>if</w:t>
      </w:r>
      <w:r w:rsidR="000B5B6E">
        <w:rPr>
          <w:rFonts w:eastAsia="Arial" w:cs="Arial"/>
          <w:color w:val="000000" w:themeColor="text1"/>
          <w:szCs w:val="24"/>
        </w:rPr>
        <w:t>, for example,</w:t>
      </w:r>
      <w:r w:rsidR="000B5B6E" w:rsidRPr="000B5B6E">
        <w:rPr>
          <w:rFonts w:eastAsia="Arial" w:cs="Arial"/>
          <w:color w:val="000000" w:themeColor="text1"/>
          <w:szCs w:val="24"/>
        </w:rPr>
        <w:t xml:space="preserve"> a statutory pledge has been created over present property too then they will be a secured creditor in relation to that property.</w:t>
      </w:r>
      <w:r w:rsidR="000B5B6E">
        <w:rPr>
          <w:rFonts w:eastAsia="Arial" w:cs="Arial"/>
          <w:color w:val="000000" w:themeColor="text1"/>
          <w:szCs w:val="24"/>
        </w:rPr>
        <w:t xml:space="preserve">) </w:t>
      </w:r>
      <w:r w:rsidR="000B5B6E" w:rsidRPr="000B5B6E">
        <w:rPr>
          <w:rFonts w:eastAsia="Arial" w:cs="Arial"/>
          <w:color w:val="000000" w:themeColor="text1"/>
          <w:szCs w:val="24"/>
        </w:rPr>
        <w:t>This seems to further legitimise the view that a range of insolvency procedures can justifiably determine that the property is not ultimately assigned or encumbered. There are protections for a secured creditor in insolvency procedures (as noted</w:t>
      </w:r>
      <w:proofErr w:type="gramStart"/>
      <w:r w:rsidR="000B5B6E" w:rsidRPr="000B5B6E">
        <w:rPr>
          <w:rFonts w:eastAsia="Arial" w:cs="Arial"/>
          <w:color w:val="000000" w:themeColor="text1"/>
          <w:szCs w:val="24"/>
        </w:rPr>
        <w:t>)</w:t>
      </w:r>
      <w:proofErr w:type="gramEnd"/>
      <w:r w:rsidR="000B5B6E" w:rsidRPr="000B5B6E">
        <w:rPr>
          <w:rFonts w:eastAsia="Arial" w:cs="Arial"/>
          <w:color w:val="000000" w:themeColor="text1"/>
          <w:szCs w:val="24"/>
        </w:rPr>
        <w:t xml:space="preserve"> but these would be limited to where a party already holds a security right, rather than a potential security right. </w:t>
      </w:r>
      <w:r w:rsidR="00DA0354">
        <w:rPr>
          <w:rFonts w:eastAsia="Arial" w:cs="Arial"/>
          <w:color w:val="000000" w:themeColor="text1"/>
          <w:szCs w:val="24"/>
        </w:rPr>
        <w:t>As noted</w:t>
      </w:r>
      <w:r w:rsidR="000B5B6E" w:rsidRPr="000B5B6E">
        <w:rPr>
          <w:rFonts w:eastAsia="Arial" w:cs="Arial"/>
          <w:color w:val="000000" w:themeColor="text1"/>
          <w:szCs w:val="24"/>
        </w:rPr>
        <w:t>, unsecured creditors participate in approval of CVAs and restructuring plans too but with a more limited ability to affect the outcome compared to secured creditors.</w:t>
      </w:r>
    </w:p>
    <w:p w14:paraId="31EED293" w14:textId="77777777" w:rsidR="00A02820" w:rsidRDefault="00A02820" w:rsidP="00F9105B">
      <w:pPr>
        <w:jc w:val="both"/>
        <w:rPr>
          <w:rFonts w:eastAsia="Arial" w:cs="Arial"/>
          <w:color w:val="000000" w:themeColor="text1"/>
          <w:szCs w:val="24"/>
        </w:rPr>
      </w:pPr>
    </w:p>
    <w:p w14:paraId="4B5BFEEA" w14:textId="3A55DFED" w:rsidR="00383203" w:rsidRDefault="003434F8" w:rsidP="00F9105B">
      <w:pPr>
        <w:jc w:val="both"/>
        <w:rPr>
          <w:rFonts w:eastAsia="Arial" w:cs="Arial"/>
          <w:color w:val="000000" w:themeColor="text1"/>
          <w:szCs w:val="24"/>
        </w:rPr>
      </w:pPr>
      <w:r>
        <w:rPr>
          <w:rFonts w:eastAsia="Arial" w:cs="Arial"/>
          <w:color w:val="000000" w:themeColor="text1"/>
          <w:szCs w:val="24"/>
        </w:rPr>
        <w:t xml:space="preserve">It may be contested that for liquidation </w:t>
      </w:r>
      <w:r w:rsidR="00A978CA">
        <w:rPr>
          <w:rFonts w:eastAsia="Arial" w:cs="Arial"/>
          <w:color w:val="000000" w:themeColor="text1"/>
          <w:szCs w:val="24"/>
        </w:rPr>
        <w:t xml:space="preserve">(winding up), only creditors voluntary liquidations (CVLs) and compulsory liquidations should be included, as </w:t>
      </w:r>
      <w:r w:rsidR="006F1774">
        <w:rPr>
          <w:rFonts w:eastAsia="Arial" w:cs="Arial"/>
          <w:color w:val="000000" w:themeColor="text1"/>
          <w:szCs w:val="24"/>
        </w:rPr>
        <w:t xml:space="preserve">the company </w:t>
      </w:r>
      <w:r w:rsidR="00F77B95">
        <w:rPr>
          <w:rFonts w:eastAsia="Arial" w:cs="Arial"/>
          <w:color w:val="000000" w:themeColor="text1"/>
          <w:szCs w:val="24"/>
        </w:rPr>
        <w:t>is</w:t>
      </w:r>
      <w:r w:rsidR="006F1774">
        <w:rPr>
          <w:rFonts w:eastAsia="Arial" w:cs="Arial"/>
          <w:color w:val="000000" w:themeColor="text1"/>
          <w:szCs w:val="24"/>
        </w:rPr>
        <w:t xml:space="preserve"> declared solvent in members voluntary liquidation</w:t>
      </w:r>
      <w:r w:rsidR="00F77B95">
        <w:rPr>
          <w:rFonts w:eastAsia="Arial" w:cs="Arial"/>
          <w:color w:val="000000" w:themeColor="text1"/>
          <w:szCs w:val="24"/>
        </w:rPr>
        <w:t>s</w:t>
      </w:r>
      <w:r w:rsidR="00A50B2E">
        <w:rPr>
          <w:rFonts w:eastAsia="Arial" w:cs="Arial"/>
          <w:color w:val="000000" w:themeColor="text1"/>
          <w:szCs w:val="24"/>
        </w:rPr>
        <w:t xml:space="preserve"> (MVL</w:t>
      </w:r>
      <w:r w:rsidR="00F77B95">
        <w:rPr>
          <w:rFonts w:eastAsia="Arial" w:cs="Arial"/>
          <w:color w:val="000000" w:themeColor="text1"/>
          <w:szCs w:val="24"/>
        </w:rPr>
        <w:t>s</w:t>
      </w:r>
      <w:r w:rsidR="00A50B2E">
        <w:rPr>
          <w:rFonts w:eastAsia="Arial" w:cs="Arial"/>
          <w:color w:val="000000" w:themeColor="text1"/>
          <w:szCs w:val="24"/>
        </w:rPr>
        <w:t>)</w:t>
      </w:r>
      <w:r w:rsidR="006F1774">
        <w:rPr>
          <w:rFonts w:eastAsia="Arial" w:cs="Arial"/>
          <w:color w:val="000000" w:themeColor="text1"/>
          <w:szCs w:val="24"/>
        </w:rPr>
        <w:t xml:space="preserve">. However, </w:t>
      </w:r>
      <w:r w:rsidR="00BA0395">
        <w:rPr>
          <w:rFonts w:eastAsia="Arial" w:cs="Arial"/>
          <w:color w:val="000000" w:themeColor="text1"/>
          <w:szCs w:val="24"/>
        </w:rPr>
        <w:t xml:space="preserve">it may be noted that not all compulsory liquidations are insolvent liquidations, and </w:t>
      </w:r>
      <w:r w:rsidR="006F1774">
        <w:rPr>
          <w:rFonts w:eastAsia="Arial" w:cs="Arial"/>
          <w:color w:val="000000" w:themeColor="text1"/>
          <w:szCs w:val="24"/>
        </w:rPr>
        <w:t xml:space="preserve">if </w:t>
      </w:r>
      <w:r w:rsidR="00A50B2E">
        <w:rPr>
          <w:rFonts w:eastAsia="Arial" w:cs="Arial"/>
          <w:color w:val="000000" w:themeColor="text1"/>
          <w:szCs w:val="24"/>
        </w:rPr>
        <w:t>there is an MVL</w:t>
      </w:r>
      <w:r w:rsidR="00BA0395">
        <w:rPr>
          <w:rFonts w:eastAsia="Arial" w:cs="Arial"/>
          <w:color w:val="000000" w:themeColor="text1"/>
          <w:szCs w:val="24"/>
        </w:rPr>
        <w:t xml:space="preserve"> or solvent compulsory liquidation</w:t>
      </w:r>
      <w:r w:rsidR="00A50B2E">
        <w:rPr>
          <w:rFonts w:eastAsia="Arial" w:cs="Arial"/>
          <w:color w:val="000000" w:themeColor="text1"/>
          <w:szCs w:val="24"/>
        </w:rPr>
        <w:t xml:space="preserve">, the parties should all receive payment in full anyway, so </w:t>
      </w:r>
      <w:r w:rsidR="00F77B95">
        <w:rPr>
          <w:rFonts w:eastAsia="Arial" w:cs="Arial"/>
          <w:color w:val="000000" w:themeColor="text1"/>
          <w:szCs w:val="24"/>
        </w:rPr>
        <w:t xml:space="preserve">the </w:t>
      </w:r>
      <w:r w:rsidR="00A50B2E">
        <w:rPr>
          <w:rFonts w:eastAsia="Arial" w:cs="Arial"/>
          <w:color w:val="000000" w:themeColor="text1"/>
          <w:szCs w:val="24"/>
        </w:rPr>
        <w:t xml:space="preserve">effect of </w:t>
      </w:r>
      <w:r w:rsidR="00F77B95">
        <w:rPr>
          <w:rFonts w:eastAsia="Arial" w:cs="Arial"/>
          <w:color w:val="000000" w:themeColor="text1"/>
          <w:szCs w:val="24"/>
        </w:rPr>
        <w:t>the provisions will matter little. As such, it is probably fine to retain the current wording regarding liquidations.</w:t>
      </w:r>
    </w:p>
    <w:p w14:paraId="229C5E62" w14:textId="77777777" w:rsidR="008C69D2" w:rsidRDefault="008C69D2" w:rsidP="00F9105B">
      <w:pPr>
        <w:jc w:val="both"/>
        <w:rPr>
          <w:rFonts w:eastAsia="Arial" w:cs="Arial"/>
          <w:color w:val="000000" w:themeColor="text1"/>
          <w:szCs w:val="24"/>
        </w:rPr>
      </w:pPr>
    </w:p>
    <w:p w14:paraId="1DBC6F68" w14:textId="518D1EFE" w:rsidR="00F9105B" w:rsidRPr="00F9105B" w:rsidRDefault="00F56CE5" w:rsidP="00F9105B">
      <w:pPr>
        <w:jc w:val="both"/>
        <w:rPr>
          <w:rFonts w:eastAsia="Arial" w:cs="Arial"/>
          <w:color w:val="000000" w:themeColor="text1"/>
          <w:szCs w:val="24"/>
        </w:rPr>
      </w:pPr>
      <w:r>
        <w:rPr>
          <w:rFonts w:eastAsia="Arial" w:cs="Arial"/>
          <w:color w:val="000000" w:themeColor="text1"/>
          <w:szCs w:val="24"/>
        </w:rPr>
        <w:t xml:space="preserve">For </w:t>
      </w:r>
      <w:r w:rsidR="002E16D3">
        <w:rPr>
          <w:rFonts w:eastAsia="Arial" w:cs="Arial"/>
          <w:color w:val="000000" w:themeColor="text1"/>
          <w:szCs w:val="24"/>
        </w:rPr>
        <w:t xml:space="preserve">the </w:t>
      </w:r>
      <w:r>
        <w:rPr>
          <w:rFonts w:eastAsia="Arial" w:cs="Arial"/>
          <w:color w:val="000000" w:themeColor="text1"/>
          <w:szCs w:val="24"/>
        </w:rPr>
        <w:t>administrative receivership</w:t>
      </w:r>
      <w:r w:rsidR="002E16D3">
        <w:rPr>
          <w:rFonts w:eastAsia="Arial" w:cs="Arial"/>
          <w:color w:val="000000" w:themeColor="text1"/>
          <w:szCs w:val="24"/>
        </w:rPr>
        <w:t xml:space="preserve"> provision</w:t>
      </w:r>
      <w:r w:rsidR="007B1C55">
        <w:rPr>
          <w:rFonts w:eastAsia="Arial" w:cs="Arial"/>
          <w:color w:val="000000" w:themeColor="text1"/>
          <w:szCs w:val="24"/>
        </w:rPr>
        <w:t>s</w:t>
      </w:r>
      <w:r>
        <w:rPr>
          <w:rFonts w:eastAsia="Arial" w:cs="Arial"/>
          <w:color w:val="000000" w:themeColor="text1"/>
          <w:szCs w:val="24"/>
        </w:rPr>
        <w:t xml:space="preserve">, </w:t>
      </w:r>
      <w:r w:rsidR="002E16D3">
        <w:rPr>
          <w:rFonts w:eastAsia="Arial" w:cs="Arial"/>
          <w:color w:val="000000" w:themeColor="text1"/>
          <w:szCs w:val="24"/>
        </w:rPr>
        <w:t xml:space="preserve">it could be </w:t>
      </w:r>
      <w:r w:rsidR="00D5584E">
        <w:rPr>
          <w:rFonts w:eastAsia="Arial" w:cs="Arial"/>
          <w:color w:val="000000" w:themeColor="text1"/>
          <w:szCs w:val="24"/>
        </w:rPr>
        <w:t>queried</w:t>
      </w:r>
      <w:r w:rsidR="002E16D3">
        <w:rPr>
          <w:rFonts w:eastAsia="Arial" w:cs="Arial"/>
          <w:color w:val="000000" w:themeColor="text1"/>
          <w:szCs w:val="24"/>
        </w:rPr>
        <w:t xml:space="preserve"> whether the reference to </w:t>
      </w:r>
      <w:r w:rsidR="0040433C">
        <w:rPr>
          <w:rFonts w:eastAsia="Arial" w:cs="Arial"/>
          <w:color w:val="000000" w:themeColor="text1"/>
          <w:szCs w:val="24"/>
        </w:rPr>
        <w:t>“being a part which includes the claim”</w:t>
      </w:r>
      <w:r w:rsidR="007B1C55">
        <w:rPr>
          <w:rFonts w:eastAsia="Arial" w:cs="Arial"/>
          <w:color w:val="000000" w:themeColor="text1"/>
          <w:szCs w:val="24"/>
        </w:rPr>
        <w:t xml:space="preserve"> etc relates</w:t>
      </w:r>
      <w:r w:rsidR="0040433C">
        <w:rPr>
          <w:rFonts w:eastAsia="Arial" w:cs="Arial"/>
          <w:color w:val="000000" w:themeColor="text1"/>
          <w:szCs w:val="24"/>
        </w:rPr>
        <w:t xml:space="preserve"> </w:t>
      </w:r>
      <w:r w:rsidR="00EA1DBC">
        <w:rPr>
          <w:rFonts w:eastAsia="Arial" w:cs="Arial"/>
          <w:color w:val="000000" w:themeColor="text1"/>
          <w:szCs w:val="24"/>
        </w:rPr>
        <w:t>should remain.</w:t>
      </w:r>
      <w:r w:rsidR="002E16D3">
        <w:rPr>
          <w:rFonts w:eastAsia="Arial" w:cs="Arial"/>
          <w:color w:val="000000" w:themeColor="text1"/>
          <w:szCs w:val="24"/>
        </w:rPr>
        <w:t xml:space="preserve"> </w:t>
      </w:r>
      <w:r w:rsidR="00EA1DBC">
        <w:rPr>
          <w:rFonts w:eastAsia="Arial" w:cs="Arial"/>
          <w:color w:val="000000" w:themeColor="text1"/>
          <w:szCs w:val="24"/>
        </w:rPr>
        <w:t>There</w:t>
      </w:r>
      <w:r w:rsidR="006A2D2B" w:rsidRPr="00F9105B">
        <w:rPr>
          <w:rFonts w:eastAsia="Arial" w:cs="Arial"/>
          <w:color w:val="000000" w:themeColor="text1"/>
          <w:szCs w:val="24"/>
        </w:rPr>
        <w:t xml:space="preserve"> could conceivably be a situation (albeit highly unlikely) in which </w:t>
      </w:r>
      <w:r w:rsidR="00EA1DBC">
        <w:rPr>
          <w:rFonts w:eastAsia="Arial" w:cs="Arial"/>
          <w:color w:val="000000" w:themeColor="text1"/>
          <w:szCs w:val="24"/>
        </w:rPr>
        <w:t>an administrative</w:t>
      </w:r>
      <w:r w:rsidR="006A2D2B" w:rsidRPr="00F9105B">
        <w:rPr>
          <w:rFonts w:eastAsia="Arial" w:cs="Arial"/>
          <w:color w:val="000000" w:themeColor="text1"/>
          <w:szCs w:val="24"/>
        </w:rPr>
        <w:t xml:space="preserve"> receiver is appointed over property that does not include the </w:t>
      </w:r>
      <w:r w:rsidR="00EA1DBC">
        <w:rPr>
          <w:rFonts w:eastAsia="Arial" w:cs="Arial"/>
          <w:color w:val="000000" w:themeColor="text1"/>
          <w:szCs w:val="24"/>
        </w:rPr>
        <w:t xml:space="preserve">claim/property in </w:t>
      </w:r>
      <w:r w:rsidR="006A2D2B" w:rsidRPr="00F9105B">
        <w:rPr>
          <w:rFonts w:eastAsia="Arial" w:cs="Arial"/>
          <w:color w:val="000000" w:themeColor="text1"/>
          <w:szCs w:val="24"/>
        </w:rPr>
        <w:t>question.</w:t>
      </w:r>
      <w:r w:rsidR="00126C03">
        <w:rPr>
          <w:rFonts w:eastAsia="Arial" w:cs="Arial"/>
          <w:color w:val="000000" w:themeColor="text1"/>
          <w:szCs w:val="24"/>
        </w:rPr>
        <w:t xml:space="preserve"> </w:t>
      </w:r>
      <w:r w:rsidR="00825C92">
        <w:rPr>
          <w:rFonts w:eastAsia="Arial" w:cs="Arial"/>
          <w:color w:val="000000" w:themeColor="text1"/>
          <w:szCs w:val="24"/>
        </w:rPr>
        <w:t xml:space="preserve">In such a scenario, should the interests of the potential assignee/secured creditor have priority over other creditors? </w:t>
      </w:r>
      <w:r w:rsidR="001A6F6F">
        <w:rPr>
          <w:rFonts w:eastAsia="Arial" w:cs="Arial"/>
          <w:color w:val="000000" w:themeColor="text1"/>
          <w:szCs w:val="24"/>
        </w:rPr>
        <w:t xml:space="preserve">Perhaps such a priority could be justified as </w:t>
      </w:r>
      <w:r w:rsidR="006A2D2B" w:rsidRPr="00F9105B">
        <w:rPr>
          <w:rFonts w:eastAsia="Arial" w:cs="Arial"/>
          <w:color w:val="000000" w:themeColor="text1"/>
          <w:szCs w:val="24"/>
        </w:rPr>
        <w:lastRenderedPageBreak/>
        <w:t>receivership is an enforcement mechanism for a floating charge, and is</w:t>
      </w:r>
      <w:r w:rsidR="001A6F6F">
        <w:rPr>
          <w:rFonts w:eastAsia="Arial" w:cs="Arial"/>
          <w:color w:val="000000" w:themeColor="text1"/>
          <w:szCs w:val="24"/>
        </w:rPr>
        <w:t xml:space="preserve"> </w:t>
      </w:r>
      <w:r w:rsidR="006A2D2B" w:rsidRPr="00F9105B">
        <w:rPr>
          <w:rFonts w:eastAsia="Arial" w:cs="Arial"/>
          <w:color w:val="000000" w:themeColor="text1"/>
          <w:szCs w:val="24"/>
        </w:rPr>
        <w:t>n</w:t>
      </w:r>
      <w:r w:rsidR="001A6F6F">
        <w:rPr>
          <w:rFonts w:eastAsia="Arial" w:cs="Arial"/>
          <w:color w:val="000000" w:themeColor="text1"/>
          <w:szCs w:val="24"/>
        </w:rPr>
        <w:t>o</w:t>
      </w:r>
      <w:r w:rsidR="006A2D2B" w:rsidRPr="00F9105B">
        <w:rPr>
          <w:rFonts w:eastAsia="Arial" w:cs="Arial"/>
          <w:color w:val="000000" w:themeColor="text1"/>
          <w:szCs w:val="24"/>
        </w:rPr>
        <w:t>t for the benefit of the other creditors or the rescue of the company</w:t>
      </w:r>
      <w:r w:rsidR="001A6F6F">
        <w:rPr>
          <w:rFonts w:eastAsia="Arial" w:cs="Arial"/>
          <w:color w:val="000000" w:themeColor="text1"/>
          <w:szCs w:val="24"/>
        </w:rPr>
        <w:t>.</w:t>
      </w:r>
      <w:r w:rsidR="006A2D2B" w:rsidRPr="00F9105B">
        <w:rPr>
          <w:rFonts w:eastAsia="Arial" w:cs="Arial"/>
          <w:color w:val="000000" w:themeColor="text1"/>
          <w:szCs w:val="24"/>
        </w:rPr>
        <w:t xml:space="preserve"> </w:t>
      </w:r>
      <w:r w:rsidR="001A6F6F">
        <w:rPr>
          <w:rFonts w:eastAsia="Arial" w:cs="Arial"/>
          <w:color w:val="000000" w:themeColor="text1"/>
          <w:szCs w:val="24"/>
        </w:rPr>
        <w:t xml:space="preserve">It may also be more straightforward at this stage to keep the provisions as they are, particularly since receiverships are very rare nowadays. </w:t>
      </w:r>
    </w:p>
    <w:p w14:paraId="70EA14F9" w14:textId="77777777" w:rsidR="002E1201" w:rsidRDefault="002E1201" w:rsidP="5DEC2613">
      <w:pPr>
        <w:jc w:val="both"/>
        <w:rPr>
          <w:rFonts w:eastAsia="Arial" w:cs="Arial"/>
          <w:b/>
          <w:bCs/>
          <w:color w:val="000000" w:themeColor="text1"/>
          <w:szCs w:val="24"/>
        </w:rPr>
      </w:pPr>
    </w:p>
    <w:p w14:paraId="7920CE26" w14:textId="068104B6" w:rsidR="4BB979A2" w:rsidRDefault="4BB979A2" w:rsidP="5DEC2613">
      <w:pPr>
        <w:jc w:val="both"/>
        <w:rPr>
          <w:rFonts w:eastAsia="Arial" w:cs="Arial"/>
          <w:b/>
          <w:bCs/>
          <w:color w:val="000000" w:themeColor="text1"/>
          <w:szCs w:val="24"/>
        </w:rPr>
      </w:pPr>
      <w:r w:rsidRPr="5DEC2613">
        <w:rPr>
          <w:rFonts w:eastAsia="Arial" w:cs="Arial"/>
          <w:b/>
          <w:bCs/>
          <w:color w:val="000000" w:themeColor="text1"/>
          <w:szCs w:val="24"/>
        </w:rPr>
        <w:t xml:space="preserve">Question Three – should </w:t>
      </w:r>
      <w:r w:rsidR="1383B9E4" w:rsidRPr="5DEC2613">
        <w:rPr>
          <w:rFonts w:eastAsia="Arial" w:cs="Arial"/>
          <w:b/>
          <w:bCs/>
          <w:color w:val="000000" w:themeColor="text1"/>
          <w:szCs w:val="24"/>
        </w:rPr>
        <w:t xml:space="preserve">all trust deeds be included in </w:t>
      </w:r>
      <w:r w:rsidRPr="5DEC2613">
        <w:rPr>
          <w:rFonts w:eastAsia="Arial" w:cs="Arial"/>
          <w:b/>
          <w:bCs/>
          <w:color w:val="000000" w:themeColor="text1"/>
          <w:szCs w:val="24"/>
        </w:rPr>
        <w:t>the definition of insolvency for individuals?  Please provide reasons for your answer.</w:t>
      </w:r>
    </w:p>
    <w:p w14:paraId="64739FCE" w14:textId="3F420372" w:rsidR="5DEC2613" w:rsidRDefault="5DEC2613" w:rsidP="5DEC2613">
      <w:pPr>
        <w:jc w:val="both"/>
        <w:rPr>
          <w:rFonts w:eastAsia="Arial" w:cs="Arial"/>
          <w:b/>
          <w:bCs/>
          <w:color w:val="000000" w:themeColor="text1"/>
          <w:szCs w:val="24"/>
        </w:rPr>
      </w:pPr>
    </w:p>
    <w:p w14:paraId="3779D1DE" w14:textId="39C95396" w:rsidR="00CC32DF" w:rsidRDefault="00026D39" w:rsidP="5DEC2613">
      <w:pPr>
        <w:jc w:val="both"/>
        <w:rPr>
          <w:rFonts w:eastAsia="Arial" w:cs="Arial"/>
          <w:color w:val="000000" w:themeColor="text1"/>
          <w:szCs w:val="24"/>
        </w:rPr>
      </w:pPr>
      <w:r>
        <w:rPr>
          <w:rFonts w:eastAsia="Arial" w:cs="Arial"/>
          <w:color w:val="000000" w:themeColor="text1"/>
          <w:szCs w:val="24"/>
        </w:rPr>
        <w:t xml:space="preserve">We </w:t>
      </w:r>
      <w:r w:rsidR="00CC32DF">
        <w:rPr>
          <w:rFonts w:eastAsia="Arial" w:cs="Arial"/>
          <w:color w:val="000000" w:themeColor="text1"/>
          <w:szCs w:val="24"/>
        </w:rPr>
        <w:t>acknowledge</w:t>
      </w:r>
      <w:r>
        <w:rPr>
          <w:rFonts w:eastAsia="Arial" w:cs="Arial"/>
          <w:color w:val="000000" w:themeColor="text1"/>
          <w:szCs w:val="24"/>
        </w:rPr>
        <w:t xml:space="preserve"> that there may be an argument in favour of limiting </w:t>
      </w:r>
      <w:r w:rsidR="00CC32DF">
        <w:rPr>
          <w:rFonts w:eastAsia="Arial" w:cs="Arial"/>
          <w:color w:val="000000" w:themeColor="text1"/>
          <w:szCs w:val="24"/>
        </w:rPr>
        <w:t xml:space="preserve">the definition to protected trust deeds, due to the </w:t>
      </w:r>
      <w:r w:rsidR="00F35E0F">
        <w:rPr>
          <w:rFonts w:eastAsia="Arial" w:cs="Arial"/>
          <w:color w:val="000000" w:themeColor="text1"/>
          <w:szCs w:val="24"/>
        </w:rPr>
        <w:t>element of publicity provided by registration of such deeds</w:t>
      </w:r>
      <w:r w:rsidR="00FE6859">
        <w:rPr>
          <w:rFonts w:eastAsia="Arial" w:cs="Arial"/>
          <w:color w:val="000000" w:themeColor="text1"/>
          <w:szCs w:val="24"/>
        </w:rPr>
        <w:t xml:space="preserve"> (and potentially with registration being the relevant trigger)</w:t>
      </w:r>
      <w:r w:rsidR="00F35E0F">
        <w:rPr>
          <w:rFonts w:eastAsia="Arial" w:cs="Arial"/>
          <w:color w:val="000000" w:themeColor="text1"/>
          <w:szCs w:val="24"/>
        </w:rPr>
        <w:t xml:space="preserve">. </w:t>
      </w:r>
      <w:r w:rsidR="004D2E33">
        <w:rPr>
          <w:rFonts w:eastAsia="Arial" w:cs="Arial"/>
          <w:color w:val="000000" w:themeColor="text1"/>
          <w:szCs w:val="24"/>
        </w:rPr>
        <w:t>It could be contended that the</w:t>
      </w:r>
      <w:r w:rsidR="00F35E0F">
        <w:rPr>
          <w:rFonts w:eastAsia="Arial" w:cs="Arial"/>
          <w:color w:val="000000" w:themeColor="text1"/>
          <w:szCs w:val="24"/>
        </w:rPr>
        <w:t xml:space="preserve"> law </w:t>
      </w:r>
      <w:r w:rsidR="004D2E33">
        <w:rPr>
          <w:rFonts w:eastAsia="Arial" w:cs="Arial"/>
          <w:color w:val="000000" w:themeColor="text1"/>
          <w:szCs w:val="24"/>
        </w:rPr>
        <w:t xml:space="preserve">should be amended </w:t>
      </w:r>
      <w:r w:rsidR="00F35E0F">
        <w:rPr>
          <w:rFonts w:eastAsia="Arial" w:cs="Arial"/>
          <w:color w:val="000000" w:themeColor="text1"/>
          <w:szCs w:val="24"/>
        </w:rPr>
        <w:t>to require the registration of other trust deeds for creditors</w:t>
      </w:r>
      <w:r w:rsidR="002D46BE">
        <w:rPr>
          <w:rFonts w:eastAsia="Arial" w:cs="Arial"/>
          <w:color w:val="000000" w:themeColor="text1"/>
          <w:szCs w:val="24"/>
        </w:rPr>
        <w:t xml:space="preserve"> but </w:t>
      </w:r>
      <w:r w:rsidR="00F35E0F">
        <w:rPr>
          <w:rFonts w:eastAsia="Arial" w:cs="Arial"/>
          <w:color w:val="000000" w:themeColor="text1"/>
          <w:szCs w:val="24"/>
        </w:rPr>
        <w:t>that does not seem to be a realistic p</w:t>
      </w:r>
      <w:r w:rsidR="00FE6859">
        <w:rPr>
          <w:rFonts w:eastAsia="Arial" w:cs="Arial"/>
          <w:color w:val="000000" w:themeColor="text1"/>
          <w:szCs w:val="24"/>
        </w:rPr>
        <w:t xml:space="preserve">ossibility in the near future. </w:t>
      </w:r>
    </w:p>
    <w:p w14:paraId="0CD06BA0" w14:textId="77777777" w:rsidR="00610A11" w:rsidRDefault="00610A11" w:rsidP="5DEC2613">
      <w:pPr>
        <w:jc w:val="both"/>
        <w:rPr>
          <w:rFonts w:eastAsia="Arial" w:cs="Arial"/>
          <w:color w:val="000000" w:themeColor="text1"/>
          <w:szCs w:val="24"/>
        </w:rPr>
      </w:pPr>
    </w:p>
    <w:p w14:paraId="7B219DE9" w14:textId="49A685F8" w:rsidR="008F4353" w:rsidRDefault="002D46BE" w:rsidP="5DEC2613">
      <w:pPr>
        <w:jc w:val="both"/>
        <w:rPr>
          <w:rFonts w:eastAsia="Arial" w:cs="Arial"/>
          <w:color w:val="000000" w:themeColor="text1"/>
          <w:szCs w:val="24"/>
        </w:rPr>
      </w:pPr>
      <w:r>
        <w:rPr>
          <w:rFonts w:eastAsia="Arial" w:cs="Arial"/>
          <w:color w:val="000000" w:themeColor="text1"/>
          <w:szCs w:val="24"/>
        </w:rPr>
        <w:t>W</w:t>
      </w:r>
      <w:r w:rsidR="00610A11">
        <w:rPr>
          <w:rFonts w:eastAsia="Arial" w:cs="Arial"/>
          <w:color w:val="000000" w:themeColor="text1"/>
          <w:szCs w:val="24"/>
        </w:rPr>
        <w:t xml:space="preserve">e note that the </w:t>
      </w:r>
      <w:r w:rsidR="00AA660F">
        <w:rPr>
          <w:rFonts w:eastAsia="Arial" w:cs="Arial"/>
          <w:color w:val="000000" w:themeColor="text1"/>
          <w:szCs w:val="24"/>
        </w:rPr>
        <w:t xml:space="preserve">number of unprotected trust deeds for creditors </w:t>
      </w:r>
      <w:r w:rsidR="00BA0395">
        <w:rPr>
          <w:rFonts w:eastAsia="Arial" w:cs="Arial"/>
          <w:color w:val="000000" w:themeColor="text1"/>
          <w:szCs w:val="24"/>
        </w:rPr>
        <w:t>appears to be</w:t>
      </w:r>
      <w:r w:rsidR="00AA660F">
        <w:rPr>
          <w:rFonts w:eastAsia="Arial" w:cs="Arial"/>
          <w:color w:val="000000" w:themeColor="text1"/>
          <w:szCs w:val="24"/>
        </w:rPr>
        <w:t xml:space="preserve"> very low</w:t>
      </w:r>
      <w:r>
        <w:rPr>
          <w:rFonts w:eastAsia="Arial" w:cs="Arial"/>
          <w:color w:val="000000" w:themeColor="text1"/>
          <w:szCs w:val="24"/>
        </w:rPr>
        <w:t xml:space="preserve"> and this may make a difference as to whether </w:t>
      </w:r>
      <w:r w:rsidR="00E725E3">
        <w:rPr>
          <w:rFonts w:eastAsia="Arial" w:cs="Arial"/>
          <w:color w:val="000000" w:themeColor="text1"/>
          <w:szCs w:val="24"/>
        </w:rPr>
        <w:t>all such deeds are included</w:t>
      </w:r>
      <w:r w:rsidR="00AA660F">
        <w:rPr>
          <w:rFonts w:eastAsia="Arial" w:cs="Arial"/>
          <w:color w:val="000000" w:themeColor="text1"/>
          <w:szCs w:val="24"/>
        </w:rPr>
        <w:t>.</w:t>
      </w:r>
      <w:r w:rsidR="00AA09FA">
        <w:rPr>
          <w:rFonts w:eastAsia="Arial" w:cs="Arial"/>
          <w:color w:val="000000" w:themeColor="text1"/>
          <w:szCs w:val="24"/>
        </w:rPr>
        <w:t xml:space="preserve"> </w:t>
      </w:r>
      <w:r w:rsidR="00E854B1">
        <w:rPr>
          <w:rFonts w:eastAsia="Arial" w:cs="Arial"/>
          <w:color w:val="000000" w:themeColor="text1"/>
          <w:szCs w:val="24"/>
        </w:rPr>
        <w:t xml:space="preserve">There is also the possibility that a trust deed is </w:t>
      </w:r>
      <w:r w:rsidR="002E0C96">
        <w:rPr>
          <w:rFonts w:eastAsia="Arial" w:cs="Arial"/>
          <w:color w:val="000000" w:themeColor="text1"/>
          <w:szCs w:val="24"/>
        </w:rPr>
        <w:t xml:space="preserve">originally </w:t>
      </w:r>
      <w:r w:rsidR="00E854B1">
        <w:rPr>
          <w:rFonts w:eastAsia="Arial" w:cs="Arial"/>
          <w:color w:val="000000" w:themeColor="text1"/>
          <w:szCs w:val="24"/>
        </w:rPr>
        <w:t xml:space="preserve">intended to become protected but </w:t>
      </w:r>
      <w:r w:rsidR="002E0C96">
        <w:rPr>
          <w:rFonts w:eastAsia="Arial" w:cs="Arial"/>
          <w:color w:val="000000" w:themeColor="text1"/>
          <w:szCs w:val="24"/>
        </w:rPr>
        <w:t xml:space="preserve">never does. It may be reasonable to include </w:t>
      </w:r>
      <w:r w:rsidR="00FD58F7">
        <w:rPr>
          <w:rFonts w:eastAsia="Arial" w:cs="Arial"/>
          <w:color w:val="000000" w:themeColor="text1"/>
          <w:szCs w:val="24"/>
        </w:rPr>
        <w:t>the grant of such deeds in the definition.</w:t>
      </w:r>
      <w:r w:rsidR="002E0C96">
        <w:rPr>
          <w:rFonts w:eastAsia="Arial" w:cs="Arial"/>
          <w:color w:val="000000" w:themeColor="text1"/>
          <w:szCs w:val="24"/>
        </w:rPr>
        <w:t xml:space="preserve"> </w:t>
      </w:r>
      <w:r w:rsidR="0078656B">
        <w:rPr>
          <w:rFonts w:eastAsia="Arial" w:cs="Arial"/>
          <w:color w:val="000000" w:themeColor="text1"/>
          <w:szCs w:val="24"/>
        </w:rPr>
        <w:t xml:space="preserve">Also, drawing a distinction between protected and unprotected trust deeds </w:t>
      </w:r>
      <w:r w:rsidR="0078656B" w:rsidRPr="0078656B">
        <w:rPr>
          <w:rFonts w:eastAsia="Arial" w:cs="Arial"/>
          <w:color w:val="000000" w:themeColor="text1"/>
          <w:szCs w:val="24"/>
        </w:rPr>
        <w:t xml:space="preserve">may incentivise protected trust deeds for some parties, while incentivising </w:t>
      </w:r>
      <w:r w:rsidR="00254691">
        <w:rPr>
          <w:rFonts w:eastAsia="Arial" w:cs="Arial"/>
          <w:color w:val="000000" w:themeColor="text1"/>
          <w:szCs w:val="24"/>
        </w:rPr>
        <w:t>un</w:t>
      </w:r>
      <w:r w:rsidR="0078656B" w:rsidRPr="0078656B">
        <w:rPr>
          <w:rFonts w:eastAsia="Arial" w:cs="Arial"/>
          <w:color w:val="000000" w:themeColor="text1"/>
          <w:szCs w:val="24"/>
        </w:rPr>
        <w:t>protected trust deeds for others.</w:t>
      </w:r>
      <w:r w:rsidR="007E213A" w:rsidRPr="007E213A">
        <w:rPr>
          <w:rFonts w:eastAsia="Arial" w:cs="Arial"/>
          <w:color w:val="000000" w:themeColor="text1"/>
          <w:szCs w:val="24"/>
        </w:rPr>
        <w:t xml:space="preserve"> </w:t>
      </w:r>
    </w:p>
    <w:p w14:paraId="368B0104" w14:textId="77777777" w:rsidR="008F4353" w:rsidRDefault="008F4353" w:rsidP="5DEC2613">
      <w:pPr>
        <w:jc w:val="both"/>
        <w:rPr>
          <w:rFonts w:eastAsia="Arial" w:cs="Arial"/>
          <w:color w:val="000000" w:themeColor="text1"/>
          <w:szCs w:val="24"/>
        </w:rPr>
      </w:pPr>
    </w:p>
    <w:p w14:paraId="67A4125F" w14:textId="274C611E" w:rsidR="002D46BE" w:rsidRDefault="007E213A" w:rsidP="5DEC2613">
      <w:pPr>
        <w:jc w:val="both"/>
        <w:rPr>
          <w:rFonts w:eastAsia="Arial" w:cs="Arial"/>
          <w:color w:val="000000" w:themeColor="text1"/>
          <w:szCs w:val="24"/>
        </w:rPr>
      </w:pPr>
      <w:r w:rsidRPr="007E213A">
        <w:rPr>
          <w:rFonts w:eastAsia="Arial" w:cs="Arial"/>
          <w:color w:val="000000" w:themeColor="text1"/>
          <w:szCs w:val="24"/>
        </w:rPr>
        <w:t xml:space="preserve">It could be said that with a trust deed generally it is up to the creditors to determine how the property should be dealt with, and creditors do not have to be bound by it, but that is less so with protected trust deeds, as dissenting creditors are bound. This could arguably justify separate treatment here. Then again, given that the purpose of any trust for creditors in this context is to transfer assets to a trustee, </w:t>
      </w:r>
      <w:r w:rsidR="008F4353">
        <w:rPr>
          <w:rFonts w:eastAsia="Arial" w:cs="Arial"/>
          <w:color w:val="000000" w:themeColor="text1"/>
          <w:szCs w:val="24"/>
        </w:rPr>
        <w:t>we</w:t>
      </w:r>
      <w:r w:rsidRPr="007E213A">
        <w:rPr>
          <w:rFonts w:eastAsia="Arial" w:cs="Arial"/>
          <w:color w:val="000000" w:themeColor="text1"/>
          <w:szCs w:val="24"/>
        </w:rPr>
        <w:t xml:space="preserve"> can see </w:t>
      </w:r>
      <w:r w:rsidR="00A67EFC">
        <w:rPr>
          <w:rFonts w:eastAsia="Arial" w:cs="Arial"/>
          <w:color w:val="000000" w:themeColor="text1"/>
          <w:szCs w:val="24"/>
        </w:rPr>
        <w:t xml:space="preserve">the logic in </w:t>
      </w:r>
      <w:r w:rsidRPr="007E213A">
        <w:rPr>
          <w:rFonts w:eastAsia="Arial" w:cs="Arial"/>
          <w:color w:val="000000" w:themeColor="text1"/>
          <w:szCs w:val="24"/>
        </w:rPr>
        <w:t>includ</w:t>
      </w:r>
      <w:r w:rsidR="00A67EFC">
        <w:rPr>
          <w:rFonts w:eastAsia="Arial" w:cs="Arial"/>
          <w:color w:val="000000" w:themeColor="text1"/>
          <w:szCs w:val="24"/>
        </w:rPr>
        <w:t>ing</w:t>
      </w:r>
      <w:r w:rsidRPr="007E213A">
        <w:rPr>
          <w:rFonts w:eastAsia="Arial" w:cs="Arial"/>
          <w:color w:val="000000" w:themeColor="text1"/>
          <w:szCs w:val="24"/>
        </w:rPr>
        <w:t xml:space="preserve"> any grant of a trust deed for creditors.</w:t>
      </w:r>
    </w:p>
    <w:p w14:paraId="6DC0AFC5" w14:textId="77777777" w:rsidR="002D46BE" w:rsidRDefault="002D46BE" w:rsidP="5DEC2613">
      <w:pPr>
        <w:jc w:val="both"/>
        <w:rPr>
          <w:rFonts w:eastAsia="Arial" w:cs="Arial"/>
          <w:color w:val="000000" w:themeColor="text1"/>
          <w:szCs w:val="24"/>
        </w:rPr>
      </w:pPr>
    </w:p>
    <w:p w14:paraId="6517D10F" w14:textId="091596DB" w:rsidR="00610A11" w:rsidRDefault="000D34D3" w:rsidP="5DEC2613">
      <w:pPr>
        <w:jc w:val="both"/>
        <w:rPr>
          <w:rFonts w:eastAsia="Arial" w:cs="Arial"/>
          <w:color w:val="000000" w:themeColor="text1"/>
          <w:szCs w:val="24"/>
        </w:rPr>
      </w:pPr>
      <w:r>
        <w:rPr>
          <w:rFonts w:eastAsia="Arial" w:cs="Arial"/>
          <w:color w:val="000000" w:themeColor="text1"/>
          <w:szCs w:val="24"/>
        </w:rPr>
        <w:t xml:space="preserve">Trust deeds are valid from the point at which they </w:t>
      </w:r>
      <w:r w:rsidR="0017029B">
        <w:rPr>
          <w:rFonts w:eastAsia="Arial" w:cs="Arial"/>
          <w:color w:val="000000" w:themeColor="text1"/>
          <w:szCs w:val="24"/>
        </w:rPr>
        <w:t xml:space="preserve">are granted, and so this </w:t>
      </w:r>
      <w:r w:rsidR="0042560F">
        <w:rPr>
          <w:rFonts w:eastAsia="Arial" w:cs="Arial"/>
          <w:color w:val="000000" w:themeColor="text1"/>
          <w:szCs w:val="24"/>
        </w:rPr>
        <w:t>can</w:t>
      </w:r>
      <w:r w:rsidR="0017029B">
        <w:rPr>
          <w:rFonts w:eastAsia="Arial" w:cs="Arial"/>
          <w:color w:val="000000" w:themeColor="text1"/>
          <w:szCs w:val="24"/>
        </w:rPr>
        <w:t xml:space="preserve"> justify using the grant of such a deed as the relevant point in the definition of insolvency. </w:t>
      </w:r>
      <w:r w:rsidR="0042560F">
        <w:rPr>
          <w:rFonts w:eastAsia="Arial" w:cs="Arial"/>
          <w:color w:val="000000" w:themeColor="text1"/>
          <w:szCs w:val="24"/>
        </w:rPr>
        <w:t xml:space="preserve">This is particularly apposite if </w:t>
      </w:r>
      <w:r w:rsidR="00FD58F7">
        <w:rPr>
          <w:rFonts w:eastAsia="Arial" w:cs="Arial"/>
          <w:color w:val="000000" w:themeColor="text1"/>
          <w:szCs w:val="24"/>
        </w:rPr>
        <w:t>un</w:t>
      </w:r>
      <w:r w:rsidR="0042560F">
        <w:rPr>
          <w:rFonts w:eastAsia="Arial" w:cs="Arial"/>
          <w:color w:val="000000" w:themeColor="text1"/>
          <w:szCs w:val="24"/>
        </w:rPr>
        <w:t xml:space="preserve">protected trust deeds are to be included, as there is no </w:t>
      </w:r>
      <w:r w:rsidR="00A64B8E">
        <w:rPr>
          <w:rFonts w:eastAsia="Arial" w:cs="Arial"/>
          <w:color w:val="000000" w:themeColor="text1"/>
          <w:szCs w:val="24"/>
        </w:rPr>
        <w:t xml:space="preserve">obvious </w:t>
      </w:r>
      <w:r w:rsidR="0042560F">
        <w:rPr>
          <w:rFonts w:eastAsia="Arial" w:cs="Arial"/>
          <w:color w:val="000000" w:themeColor="text1"/>
          <w:szCs w:val="24"/>
        </w:rPr>
        <w:t>alternative point such as registration.</w:t>
      </w:r>
    </w:p>
    <w:p w14:paraId="3F9FD395" w14:textId="77777777" w:rsidR="00CC32DF" w:rsidRDefault="00CC32DF" w:rsidP="5DEC2613">
      <w:pPr>
        <w:jc w:val="both"/>
        <w:rPr>
          <w:rFonts w:eastAsia="Arial" w:cs="Arial"/>
          <w:color w:val="000000" w:themeColor="text1"/>
          <w:szCs w:val="24"/>
        </w:rPr>
      </w:pPr>
    </w:p>
    <w:p w14:paraId="732BA85F" w14:textId="187885C1" w:rsidR="00BB70A5" w:rsidRPr="00BB70A5" w:rsidRDefault="0042560F" w:rsidP="5DEC2613">
      <w:pPr>
        <w:jc w:val="both"/>
        <w:rPr>
          <w:rFonts w:eastAsia="Arial" w:cs="Arial"/>
          <w:color w:val="000000" w:themeColor="text1"/>
          <w:szCs w:val="24"/>
        </w:rPr>
      </w:pPr>
      <w:r>
        <w:rPr>
          <w:rFonts w:eastAsia="Arial" w:cs="Arial"/>
          <w:color w:val="000000" w:themeColor="text1"/>
          <w:szCs w:val="24"/>
        </w:rPr>
        <w:t xml:space="preserve">If all </w:t>
      </w:r>
      <w:r w:rsidR="00FD58F7">
        <w:rPr>
          <w:rFonts w:eastAsia="Arial" w:cs="Arial"/>
          <w:color w:val="000000" w:themeColor="text1"/>
          <w:szCs w:val="24"/>
        </w:rPr>
        <w:t xml:space="preserve">trust deeds </w:t>
      </w:r>
      <w:r w:rsidR="00A67EFC">
        <w:rPr>
          <w:rFonts w:eastAsia="Arial" w:cs="Arial"/>
          <w:color w:val="000000" w:themeColor="text1"/>
          <w:szCs w:val="24"/>
        </w:rPr>
        <w:t xml:space="preserve">for creditors </w:t>
      </w:r>
      <w:r w:rsidR="00FD58F7">
        <w:rPr>
          <w:rFonts w:eastAsia="Arial" w:cs="Arial"/>
          <w:color w:val="000000" w:themeColor="text1"/>
          <w:szCs w:val="24"/>
        </w:rPr>
        <w:t>are included, t</w:t>
      </w:r>
      <w:r w:rsidR="00BB70A5" w:rsidRPr="00BB70A5">
        <w:rPr>
          <w:rFonts w:eastAsia="Arial" w:cs="Arial"/>
          <w:color w:val="000000" w:themeColor="text1"/>
          <w:szCs w:val="24"/>
        </w:rPr>
        <w:t>here could be an argument for limiting the effect of the provision to where the property in question is included in the trust.</w:t>
      </w:r>
      <w:r w:rsidR="00161912">
        <w:rPr>
          <w:rFonts w:eastAsia="Arial" w:cs="Arial"/>
          <w:color w:val="000000" w:themeColor="text1"/>
          <w:szCs w:val="24"/>
        </w:rPr>
        <w:t xml:space="preserve"> If the trust deed is only partial and relates </w:t>
      </w:r>
      <w:r w:rsidR="00086AA5">
        <w:rPr>
          <w:rFonts w:eastAsia="Arial" w:cs="Arial"/>
          <w:color w:val="000000" w:themeColor="text1"/>
          <w:szCs w:val="24"/>
        </w:rPr>
        <w:t xml:space="preserve">only </w:t>
      </w:r>
      <w:r w:rsidR="00161912">
        <w:rPr>
          <w:rFonts w:eastAsia="Arial" w:cs="Arial"/>
          <w:color w:val="000000" w:themeColor="text1"/>
          <w:szCs w:val="24"/>
        </w:rPr>
        <w:t xml:space="preserve">to other items of property, it may be wondered why it should be treated as </w:t>
      </w:r>
      <w:r w:rsidR="00086AA5">
        <w:rPr>
          <w:rFonts w:eastAsia="Arial" w:cs="Arial"/>
          <w:color w:val="000000" w:themeColor="text1"/>
          <w:szCs w:val="24"/>
        </w:rPr>
        <w:t>an insolvency trigger for the relevant claims/property</w:t>
      </w:r>
      <w:r w:rsidR="006E09E9">
        <w:rPr>
          <w:rFonts w:eastAsia="Arial" w:cs="Arial"/>
          <w:color w:val="000000" w:themeColor="text1"/>
          <w:szCs w:val="24"/>
        </w:rPr>
        <w:t xml:space="preserve"> and thus deprive the potential assignee/secured creditor</w:t>
      </w:r>
      <w:r w:rsidR="00086AA5">
        <w:rPr>
          <w:rFonts w:eastAsia="Arial" w:cs="Arial"/>
          <w:color w:val="000000" w:themeColor="text1"/>
          <w:szCs w:val="24"/>
        </w:rPr>
        <w:t>.</w:t>
      </w:r>
    </w:p>
    <w:p w14:paraId="7F3592F2" w14:textId="77777777" w:rsidR="00BB70A5" w:rsidRDefault="00BB70A5" w:rsidP="5DEC2613">
      <w:pPr>
        <w:jc w:val="both"/>
        <w:rPr>
          <w:rFonts w:eastAsia="Arial" w:cs="Arial"/>
          <w:b/>
          <w:bCs/>
          <w:color w:val="000000" w:themeColor="text1"/>
          <w:szCs w:val="24"/>
        </w:rPr>
      </w:pPr>
    </w:p>
    <w:p w14:paraId="66B6FEB0" w14:textId="23243A2E" w:rsidR="4BB979A2" w:rsidRDefault="4BB979A2" w:rsidP="5DEC2613">
      <w:pPr>
        <w:jc w:val="both"/>
        <w:rPr>
          <w:rFonts w:eastAsia="Arial" w:cs="Arial"/>
          <w:b/>
          <w:bCs/>
          <w:color w:val="000000" w:themeColor="text1"/>
          <w:szCs w:val="24"/>
        </w:rPr>
      </w:pPr>
      <w:r w:rsidRPr="5DEC2613">
        <w:rPr>
          <w:rFonts w:eastAsia="Arial" w:cs="Arial"/>
          <w:b/>
          <w:bCs/>
          <w:color w:val="000000" w:themeColor="text1"/>
          <w:szCs w:val="24"/>
        </w:rPr>
        <w:t>Question Four</w:t>
      </w:r>
      <w:r w:rsidR="002F128A">
        <w:rPr>
          <w:rFonts w:eastAsia="Arial" w:cs="Arial"/>
          <w:b/>
          <w:bCs/>
          <w:color w:val="000000" w:themeColor="text1"/>
          <w:szCs w:val="24"/>
        </w:rPr>
        <w:t xml:space="preserve"> </w:t>
      </w:r>
      <w:r w:rsidRPr="5DEC2613">
        <w:rPr>
          <w:rFonts w:eastAsia="Arial" w:cs="Arial"/>
          <w:b/>
          <w:bCs/>
          <w:color w:val="000000" w:themeColor="text1"/>
          <w:szCs w:val="24"/>
        </w:rPr>
        <w:t>– should the terms composition and arrangement be excluded from the definition of insolvency for individuals?  Please provide reasons for your answer.</w:t>
      </w:r>
    </w:p>
    <w:p w14:paraId="5FD17045" w14:textId="2CD808A4" w:rsidR="008B2FA0" w:rsidRDefault="008B2FA0" w:rsidP="5DEC2613">
      <w:pPr>
        <w:jc w:val="both"/>
        <w:rPr>
          <w:rFonts w:eastAsia="Arial" w:cs="Arial"/>
          <w:b/>
          <w:bCs/>
          <w:color w:val="000000" w:themeColor="text1"/>
          <w:szCs w:val="24"/>
        </w:rPr>
      </w:pPr>
    </w:p>
    <w:p w14:paraId="6EDB711F" w14:textId="61356ED2" w:rsidR="008B2FA0" w:rsidRDefault="00BE7791" w:rsidP="5DEC2613">
      <w:pPr>
        <w:jc w:val="both"/>
        <w:rPr>
          <w:rFonts w:eastAsia="Arial" w:cs="Arial"/>
          <w:color w:val="000000" w:themeColor="text1"/>
          <w:szCs w:val="24"/>
        </w:rPr>
      </w:pPr>
      <w:r>
        <w:rPr>
          <w:rFonts w:eastAsia="Arial" w:cs="Arial"/>
          <w:color w:val="000000" w:themeColor="text1"/>
          <w:szCs w:val="24"/>
        </w:rPr>
        <w:t xml:space="preserve">There is </w:t>
      </w:r>
      <w:r w:rsidR="00AA65F0">
        <w:rPr>
          <w:rFonts w:eastAsia="Arial" w:cs="Arial"/>
          <w:color w:val="000000" w:themeColor="text1"/>
          <w:szCs w:val="24"/>
        </w:rPr>
        <w:t xml:space="preserve">an argument for retaining the terms composition and arrangement in the definition of insolvency. </w:t>
      </w:r>
      <w:r w:rsidR="004D2E33">
        <w:rPr>
          <w:rFonts w:eastAsia="Arial" w:cs="Arial"/>
          <w:color w:val="000000" w:themeColor="text1"/>
          <w:szCs w:val="24"/>
        </w:rPr>
        <w:t xml:space="preserve">While judicial composition in sequestration has been </w:t>
      </w:r>
      <w:r w:rsidR="006E09E9">
        <w:rPr>
          <w:rFonts w:eastAsia="Arial" w:cs="Arial"/>
          <w:color w:val="000000" w:themeColor="text1"/>
          <w:szCs w:val="24"/>
        </w:rPr>
        <w:t xml:space="preserve">repealed, </w:t>
      </w:r>
      <w:r w:rsidRPr="00BE7791">
        <w:rPr>
          <w:rFonts w:eastAsia="Arial" w:cs="Arial"/>
          <w:color w:val="000000" w:themeColor="text1"/>
          <w:szCs w:val="24"/>
        </w:rPr>
        <w:t xml:space="preserve">that was a specific example of composition and there is still the possibility (at least in theory) of a composition at common law. In addition, consideration is being given to reintroducing a form of statutory composition for sequestration and trust deeds, </w:t>
      </w:r>
      <w:r w:rsidRPr="00BE7791">
        <w:rPr>
          <w:rFonts w:eastAsia="Arial" w:cs="Arial"/>
          <w:color w:val="000000" w:themeColor="text1"/>
          <w:szCs w:val="24"/>
        </w:rPr>
        <w:lastRenderedPageBreak/>
        <w:t xml:space="preserve">although of course this may or may not happen. </w:t>
      </w:r>
      <w:r w:rsidR="00D317C7">
        <w:rPr>
          <w:rFonts w:eastAsia="Arial" w:cs="Arial"/>
          <w:color w:val="000000" w:themeColor="text1"/>
          <w:szCs w:val="24"/>
        </w:rPr>
        <w:t>In any event, composition retains meaning and composition and a</w:t>
      </w:r>
      <w:r w:rsidR="00E02825">
        <w:rPr>
          <w:rFonts w:eastAsia="Arial" w:cs="Arial"/>
          <w:color w:val="000000" w:themeColor="text1"/>
          <w:szCs w:val="24"/>
        </w:rPr>
        <w:t>rrangement is a term used in other contexts.</w:t>
      </w:r>
    </w:p>
    <w:p w14:paraId="6A8B9197" w14:textId="77777777" w:rsidR="00E02825" w:rsidRDefault="00E02825" w:rsidP="5DEC2613">
      <w:pPr>
        <w:jc w:val="both"/>
        <w:rPr>
          <w:rFonts w:eastAsia="Arial" w:cs="Arial"/>
          <w:color w:val="000000" w:themeColor="text1"/>
          <w:szCs w:val="24"/>
        </w:rPr>
      </w:pPr>
    </w:p>
    <w:p w14:paraId="2021174A" w14:textId="16DBEE36" w:rsidR="00E02825" w:rsidRPr="008B2FA0" w:rsidRDefault="00E02825" w:rsidP="5DEC2613">
      <w:pPr>
        <w:jc w:val="both"/>
        <w:rPr>
          <w:rFonts w:eastAsia="Arial" w:cs="Arial"/>
          <w:color w:val="000000" w:themeColor="text1"/>
          <w:szCs w:val="24"/>
        </w:rPr>
      </w:pPr>
      <w:r>
        <w:rPr>
          <w:rFonts w:eastAsia="Arial" w:cs="Arial"/>
          <w:color w:val="000000" w:themeColor="text1"/>
          <w:szCs w:val="24"/>
        </w:rPr>
        <w:t xml:space="preserve">Assuming that </w:t>
      </w:r>
      <w:r w:rsidR="003D44C1">
        <w:rPr>
          <w:rFonts w:eastAsia="Arial" w:cs="Arial"/>
          <w:color w:val="000000" w:themeColor="text1"/>
          <w:szCs w:val="24"/>
        </w:rPr>
        <w:t xml:space="preserve">unprotected trust deeds are not excluded due to the absence of publicity, </w:t>
      </w:r>
      <w:r w:rsidR="002F128A">
        <w:rPr>
          <w:rFonts w:eastAsia="Arial" w:cs="Arial"/>
          <w:color w:val="000000" w:themeColor="text1"/>
          <w:szCs w:val="24"/>
        </w:rPr>
        <w:t xml:space="preserve">then composition and arrangement should probably still remain. However, if </w:t>
      </w:r>
      <w:r w:rsidR="005F747A">
        <w:rPr>
          <w:rFonts w:eastAsia="Arial" w:cs="Arial"/>
          <w:color w:val="000000" w:themeColor="text1"/>
          <w:szCs w:val="24"/>
        </w:rPr>
        <w:t xml:space="preserve">the trust deeds included are </w:t>
      </w:r>
      <w:r w:rsidR="002F128A">
        <w:rPr>
          <w:rFonts w:eastAsia="Arial" w:cs="Arial"/>
          <w:color w:val="000000" w:themeColor="text1"/>
          <w:szCs w:val="24"/>
        </w:rPr>
        <w:t xml:space="preserve">protected trust deeds </w:t>
      </w:r>
      <w:r w:rsidR="00BF619D">
        <w:rPr>
          <w:rFonts w:eastAsia="Arial" w:cs="Arial"/>
          <w:color w:val="000000" w:themeColor="text1"/>
          <w:szCs w:val="24"/>
        </w:rPr>
        <w:t>only</w:t>
      </w:r>
      <w:r w:rsidR="001D7687">
        <w:rPr>
          <w:rFonts w:eastAsia="Arial" w:cs="Arial"/>
          <w:color w:val="000000" w:themeColor="text1"/>
          <w:szCs w:val="24"/>
        </w:rPr>
        <w:t>,</w:t>
      </w:r>
      <w:r w:rsidR="00BF619D">
        <w:rPr>
          <w:rFonts w:eastAsia="Arial" w:cs="Arial"/>
          <w:color w:val="000000" w:themeColor="text1"/>
          <w:szCs w:val="24"/>
        </w:rPr>
        <w:t xml:space="preserve"> </w:t>
      </w:r>
      <w:r w:rsidR="002F128A">
        <w:rPr>
          <w:rFonts w:eastAsia="Arial" w:cs="Arial"/>
          <w:color w:val="000000" w:themeColor="text1"/>
          <w:szCs w:val="24"/>
        </w:rPr>
        <w:t xml:space="preserve">due to </w:t>
      </w:r>
      <w:r w:rsidR="005F747A">
        <w:rPr>
          <w:rFonts w:eastAsia="Arial" w:cs="Arial"/>
          <w:color w:val="000000" w:themeColor="text1"/>
          <w:szCs w:val="24"/>
        </w:rPr>
        <w:t xml:space="preserve">the publicity aspect, there is a stronger argument in favour of omitting compositions and arrangements in the absence of equivalent publicity. </w:t>
      </w:r>
    </w:p>
    <w:p w14:paraId="7A980416" w14:textId="1445EFC8" w:rsidR="5DEC2613" w:rsidRDefault="5DEC2613" w:rsidP="5DEC2613">
      <w:pPr>
        <w:jc w:val="both"/>
        <w:rPr>
          <w:rFonts w:eastAsia="Arial" w:cs="Arial"/>
          <w:b/>
          <w:bCs/>
          <w:color w:val="000000" w:themeColor="text1"/>
          <w:szCs w:val="24"/>
        </w:rPr>
      </w:pPr>
    </w:p>
    <w:p w14:paraId="2902D39F" w14:textId="38A977AA" w:rsidR="4BB979A2" w:rsidRDefault="4BB979A2" w:rsidP="5DEC2613">
      <w:pPr>
        <w:jc w:val="both"/>
        <w:rPr>
          <w:rFonts w:eastAsia="Arial" w:cs="Arial"/>
          <w:b/>
          <w:bCs/>
          <w:color w:val="000000" w:themeColor="text1"/>
          <w:szCs w:val="24"/>
        </w:rPr>
      </w:pPr>
      <w:r w:rsidRPr="5DEC2613">
        <w:rPr>
          <w:rFonts w:eastAsia="Arial" w:cs="Arial"/>
          <w:b/>
          <w:bCs/>
          <w:color w:val="000000" w:themeColor="text1"/>
          <w:szCs w:val="24"/>
        </w:rPr>
        <w:t xml:space="preserve">Question Five </w:t>
      </w:r>
      <w:r w:rsidR="002F128A">
        <w:rPr>
          <w:rFonts w:eastAsia="Arial" w:cs="Arial"/>
          <w:b/>
          <w:bCs/>
          <w:color w:val="000000" w:themeColor="text1"/>
          <w:szCs w:val="24"/>
        </w:rPr>
        <w:t>–</w:t>
      </w:r>
      <w:r w:rsidRPr="5DEC2613">
        <w:rPr>
          <w:rFonts w:eastAsia="Arial" w:cs="Arial"/>
          <w:b/>
          <w:bCs/>
          <w:color w:val="000000" w:themeColor="text1"/>
          <w:szCs w:val="24"/>
        </w:rPr>
        <w:t xml:space="preserve"> do you agree that the definition of insolvency should include company voluntary arrangements?  Please provide reasons for your response.</w:t>
      </w:r>
    </w:p>
    <w:p w14:paraId="69C6FD58" w14:textId="00EC5D86" w:rsidR="5DEC2613" w:rsidRPr="00B20744" w:rsidRDefault="5DEC2613" w:rsidP="5DEC2613">
      <w:pPr>
        <w:jc w:val="both"/>
        <w:rPr>
          <w:rFonts w:eastAsia="Arial" w:cs="Arial"/>
          <w:color w:val="000000" w:themeColor="text1"/>
          <w:szCs w:val="24"/>
        </w:rPr>
      </w:pPr>
    </w:p>
    <w:p w14:paraId="08EEE822" w14:textId="77777777" w:rsidR="002F65D8" w:rsidRDefault="005F747A" w:rsidP="5DEC2613">
      <w:pPr>
        <w:jc w:val="both"/>
        <w:rPr>
          <w:rFonts w:eastAsia="Arial" w:cs="Arial"/>
          <w:color w:val="000000" w:themeColor="text1"/>
          <w:szCs w:val="24"/>
        </w:rPr>
      </w:pPr>
      <w:r>
        <w:rPr>
          <w:rFonts w:eastAsia="Arial" w:cs="Arial"/>
          <w:color w:val="000000" w:themeColor="text1"/>
          <w:szCs w:val="24"/>
        </w:rPr>
        <w:t xml:space="preserve">See our earlier comments. It depends upon policy preferences and whether a wide or narrow approach to </w:t>
      </w:r>
      <w:r w:rsidR="00281DFA">
        <w:rPr>
          <w:rFonts w:eastAsia="Arial" w:cs="Arial"/>
          <w:color w:val="000000" w:themeColor="text1"/>
          <w:szCs w:val="24"/>
        </w:rPr>
        <w:t xml:space="preserve">insolvency procedures is sought. If it is the former, then the definition should include CVAs, if it is the latter, they should be omitted. </w:t>
      </w:r>
    </w:p>
    <w:p w14:paraId="4E578D03" w14:textId="77777777" w:rsidR="00D83B35" w:rsidRDefault="00D83B35" w:rsidP="5DEC2613">
      <w:pPr>
        <w:jc w:val="both"/>
        <w:rPr>
          <w:rFonts w:eastAsia="Arial" w:cs="Arial"/>
          <w:color w:val="000000" w:themeColor="text1"/>
          <w:szCs w:val="24"/>
        </w:rPr>
      </w:pPr>
    </w:p>
    <w:p w14:paraId="1FF380CD" w14:textId="7DE43331" w:rsidR="00D52226" w:rsidRDefault="008008CE" w:rsidP="5DEC2613">
      <w:pPr>
        <w:jc w:val="both"/>
        <w:rPr>
          <w:rFonts w:eastAsia="Arial" w:cs="Arial"/>
          <w:color w:val="000000" w:themeColor="text1"/>
          <w:szCs w:val="24"/>
        </w:rPr>
      </w:pPr>
      <w:r>
        <w:rPr>
          <w:rFonts w:eastAsia="Arial" w:cs="Arial"/>
          <w:color w:val="000000" w:themeColor="text1"/>
          <w:szCs w:val="24"/>
        </w:rPr>
        <w:t>O</w:t>
      </w:r>
      <w:r w:rsidR="00883F0C">
        <w:rPr>
          <w:rFonts w:eastAsia="Arial" w:cs="Arial"/>
          <w:color w:val="000000" w:themeColor="text1"/>
          <w:szCs w:val="24"/>
        </w:rPr>
        <w:t xml:space="preserve">n the basis of the apparently desired policy preference, we slightly favour their inclusion. </w:t>
      </w:r>
      <w:r w:rsidR="00B55296">
        <w:rPr>
          <w:rFonts w:eastAsia="Arial" w:cs="Arial"/>
          <w:color w:val="000000" w:themeColor="text1"/>
          <w:szCs w:val="24"/>
        </w:rPr>
        <w:t xml:space="preserve">It can also be </w:t>
      </w:r>
      <w:r w:rsidR="004C7DD1">
        <w:rPr>
          <w:rFonts w:eastAsia="Arial" w:cs="Arial"/>
          <w:color w:val="000000" w:themeColor="text1"/>
          <w:szCs w:val="24"/>
        </w:rPr>
        <w:t>noted that t</w:t>
      </w:r>
      <w:r w:rsidR="00883F0C">
        <w:rPr>
          <w:rFonts w:eastAsia="Arial" w:cs="Arial"/>
          <w:color w:val="000000" w:themeColor="text1"/>
          <w:szCs w:val="24"/>
        </w:rPr>
        <w:t xml:space="preserve">hey are </w:t>
      </w:r>
      <w:r w:rsidR="00D276B0">
        <w:rPr>
          <w:rFonts w:eastAsia="Arial" w:cs="Arial"/>
          <w:color w:val="000000" w:themeColor="text1"/>
          <w:szCs w:val="24"/>
        </w:rPr>
        <w:t xml:space="preserve">widely recognised </w:t>
      </w:r>
      <w:r w:rsidR="00883F0C">
        <w:rPr>
          <w:rFonts w:eastAsia="Arial" w:cs="Arial"/>
          <w:color w:val="000000" w:themeColor="text1"/>
          <w:szCs w:val="24"/>
        </w:rPr>
        <w:t>as an insolvency procedure</w:t>
      </w:r>
      <w:r w:rsidR="004C7DD1">
        <w:rPr>
          <w:rFonts w:eastAsia="Arial" w:cs="Arial"/>
          <w:color w:val="000000" w:themeColor="text1"/>
          <w:szCs w:val="24"/>
        </w:rPr>
        <w:t xml:space="preserve"> domestically and internationally</w:t>
      </w:r>
      <w:r w:rsidR="00D276B0">
        <w:rPr>
          <w:rFonts w:eastAsia="Arial" w:cs="Arial"/>
          <w:color w:val="000000" w:themeColor="text1"/>
          <w:szCs w:val="24"/>
        </w:rPr>
        <w:t xml:space="preserve">. </w:t>
      </w:r>
      <w:r w:rsidR="00D52226" w:rsidRPr="00D52226">
        <w:rPr>
          <w:rFonts w:eastAsia="Arial" w:cs="Arial"/>
          <w:color w:val="000000" w:themeColor="text1"/>
          <w:szCs w:val="24"/>
        </w:rPr>
        <w:t>An</w:t>
      </w:r>
      <w:r w:rsidR="00D52226">
        <w:rPr>
          <w:rFonts w:eastAsia="Arial" w:cs="Arial"/>
          <w:color w:val="000000" w:themeColor="text1"/>
          <w:szCs w:val="24"/>
        </w:rPr>
        <w:t xml:space="preserve">other </w:t>
      </w:r>
      <w:r w:rsidR="00D52226" w:rsidRPr="00D52226">
        <w:rPr>
          <w:rFonts w:eastAsia="Arial" w:cs="Arial"/>
          <w:color w:val="000000" w:themeColor="text1"/>
          <w:szCs w:val="24"/>
        </w:rPr>
        <w:t>argument in favour of an expansive approach incorporating procedures such as CVAs and Pt 26A</w:t>
      </w:r>
      <w:r w:rsidR="00F813B8">
        <w:rPr>
          <w:rFonts w:eastAsia="Arial" w:cs="Arial"/>
          <w:color w:val="000000" w:themeColor="text1"/>
          <w:szCs w:val="24"/>
        </w:rPr>
        <w:t xml:space="preserve"> restructuring plan</w:t>
      </w:r>
      <w:r w:rsidR="00D52226" w:rsidRPr="00D52226">
        <w:rPr>
          <w:rFonts w:eastAsia="Arial" w:cs="Arial"/>
          <w:color w:val="000000" w:themeColor="text1"/>
          <w:szCs w:val="24"/>
        </w:rPr>
        <w:t>s etc is the general objective of encouraging corporate rescue. On this basis, it may be considered worthwhile to sacrifice the interests of potential assignees or secured creditors in the interests of rescue.</w:t>
      </w:r>
    </w:p>
    <w:p w14:paraId="4F6C2A0D" w14:textId="77777777" w:rsidR="00D52226" w:rsidRDefault="00D52226" w:rsidP="5DEC2613">
      <w:pPr>
        <w:jc w:val="both"/>
        <w:rPr>
          <w:rFonts w:eastAsia="Arial" w:cs="Arial"/>
          <w:color w:val="000000" w:themeColor="text1"/>
          <w:szCs w:val="24"/>
        </w:rPr>
      </w:pPr>
    </w:p>
    <w:p w14:paraId="40017A32" w14:textId="0FC161CB" w:rsidR="00D83B35" w:rsidRPr="00B20744" w:rsidRDefault="00D276B0" w:rsidP="5DEC2613">
      <w:pPr>
        <w:jc w:val="both"/>
        <w:rPr>
          <w:rFonts w:eastAsia="Arial" w:cs="Arial"/>
          <w:color w:val="000000" w:themeColor="text1"/>
          <w:szCs w:val="24"/>
        </w:rPr>
      </w:pPr>
      <w:r>
        <w:rPr>
          <w:rFonts w:eastAsia="Arial" w:cs="Arial"/>
          <w:color w:val="000000" w:themeColor="text1"/>
          <w:szCs w:val="24"/>
        </w:rPr>
        <w:t>An alternative approach would</w:t>
      </w:r>
      <w:r w:rsidR="00622CF7">
        <w:rPr>
          <w:rFonts w:eastAsia="Arial" w:cs="Arial"/>
          <w:color w:val="000000" w:themeColor="text1"/>
          <w:szCs w:val="24"/>
        </w:rPr>
        <w:t xml:space="preserve"> be</w:t>
      </w:r>
      <w:r>
        <w:rPr>
          <w:rFonts w:eastAsia="Arial" w:cs="Arial"/>
          <w:color w:val="000000" w:themeColor="text1"/>
          <w:szCs w:val="24"/>
        </w:rPr>
        <w:t xml:space="preserve"> to exclude </w:t>
      </w:r>
      <w:r w:rsidR="00622CF7">
        <w:rPr>
          <w:rFonts w:eastAsia="Arial" w:cs="Arial"/>
          <w:color w:val="000000" w:themeColor="text1"/>
          <w:szCs w:val="24"/>
        </w:rPr>
        <w:t xml:space="preserve">CVAs </w:t>
      </w:r>
      <w:r w:rsidR="00E73699">
        <w:rPr>
          <w:rFonts w:eastAsia="Arial" w:cs="Arial"/>
          <w:color w:val="000000" w:themeColor="text1"/>
          <w:szCs w:val="24"/>
        </w:rPr>
        <w:t xml:space="preserve">(and Pt 26A plans) </w:t>
      </w:r>
      <w:r w:rsidR="00622CF7">
        <w:rPr>
          <w:rFonts w:eastAsia="Arial" w:cs="Arial"/>
          <w:color w:val="000000" w:themeColor="text1"/>
          <w:szCs w:val="24"/>
        </w:rPr>
        <w:t xml:space="preserve">and to rely on the relevant voting procedures to determine what effect the procedure has on the </w:t>
      </w:r>
      <w:r w:rsidR="00E320D0">
        <w:rPr>
          <w:rFonts w:eastAsia="Arial" w:cs="Arial"/>
          <w:color w:val="000000" w:themeColor="text1"/>
          <w:szCs w:val="24"/>
        </w:rPr>
        <w:t>claims or other property in question.</w:t>
      </w:r>
    </w:p>
    <w:p w14:paraId="28F84D2B" w14:textId="77777777" w:rsidR="00B20744" w:rsidRDefault="00B20744" w:rsidP="5DEC2613">
      <w:pPr>
        <w:jc w:val="both"/>
        <w:rPr>
          <w:rFonts w:eastAsia="Arial" w:cs="Arial"/>
          <w:b/>
          <w:bCs/>
          <w:color w:val="000000" w:themeColor="text1"/>
          <w:szCs w:val="24"/>
        </w:rPr>
      </w:pPr>
    </w:p>
    <w:p w14:paraId="1012AA78" w14:textId="519E9D64" w:rsidR="003614D2" w:rsidRDefault="003614D2" w:rsidP="003614D2">
      <w:pPr>
        <w:jc w:val="both"/>
        <w:rPr>
          <w:rFonts w:eastAsia="Arial" w:cs="Arial"/>
          <w:b/>
          <w:bCs/>
          <w:color w:val="000000" w:themeColor="text1"/>
        </w:rPr>
      </w:pPr>
      <w:r>
        <w:rPr>
          <w:rFonts w:eastAsia="Arial" w:cs="Arial"/>
          <w:b/>
          <w:bCs/>
          <w:color w:val="000000" w:themeColor="text1"/>
        </w:rPr>
        <w:t>Question Six – should only company voluntary arrangements which include the claim/encumbered property fall within the definition?  Please provide reasons for your response.</w:t>
      </w:r>
    </w:p>
    <w:p w14:paraId="5686E52C" w14:textId="77777777" w:rsidR="003614D2" w:rsidRDefault="003614D2" w:rsidP="5DEC2613">
      <w:pPr>
        <w:jc w:val="both"/>
        <w:rPr>
          <w:rFonts w:eastAsia="Arial" w:cs="Arial"/>
          <w:b/>
          <w:bCs/>
          <w:color w:val="000000" w:themeColor="text1"/>
          <w:szCs w:val="24"/>
        </w:rPr>
      </w:pPr>
    </w:p>
    <w:p w14:paraId="54916DF9" w14:textId="3EF54161" w:rsidR="008008CE" w:rsidRPr="008008CE" w:rsidRDefault="00FF190C" w:rsidP="5DEC2613">
      <w:pPr>
        <w:jc w:val="both"/>
        <w:rPr>
          <w:rFonts w:eastAsia="Arial" w:cs="Arial"/>
          <w:color w:val="000000" w:themeColor="text1"/>
          <w:szCs w:val="24"/>
        </w:rPr>
      </w:pPr>
      <w:r>
        <w:rPr>
          <w:rFonts w:eastAsia="Arial" w:cs="Arial"/>
          <w:color w:val="000000" w:themeColor="text1"/>
          <w:szCs w:val="24"/>
        </w:rPr>
        <w:t xml:space="preserve">We can see the argument in favour of this. However, given that a CVA </w:t>
      </w:r>
      <w:r w:rsidR="00306A33">
        <w:rPr>
          <w:rFonts w:eastAsia="Arial" w:cs="Arial"/>
          <w:color w:val="000000" w:themeColor="text1"/>
          <w:szCs w:val="24"/>
        </w:rPr>
        <w:t xml:space="preserve">is principally focused on debt/liabilities, </w:t>
      </w:r>
      <w:r w:rsidR="003E52CD">
        <w:rPr>
          <w:rFonts w:eastAsia="Arial" w:cs="Arial"/>
          <w:color w:val="000000" w:themeColor="text1"/>
          <w:szCs w:val="24"/>
        </w:rPr>
        <w:t>and</w:t>
      </w:r>
      <w:r w:rsidR="00306A33">
        <w:rPr>
          <w:rFonts w:eastAsia="Arial" w:cs="Arial"/>
          <w:color w:val="000000" w:themeColor="text1"/>
          <w:szCs w:val="24"/>
        </w:rPr>
        <w:t xml:space="preserve"> </w:t>
      </w:r>
      <w:r>
        <w:rPr>
          <w:rFonts w:eastAsia="Arial" w:cs="Arial"/>
          <w:color w:val="000000" w:themeColor="text1"/>
          <w:szCs w:val="24"/>
        </w:rPr>
        <w:t xml:space="preserve">may not necessarily relate to particular property, </w:t>
      </w:r>
      <w:r w:rsidR="00306A33">
        <w:rPr>
          <w:rFonts w:eastAsia="Arial" w:cs="Arial"/>
          <w:color w:val="000000" w:themeColor="text1"/>
          <w:szCs w:val="24"/>
        </w:rPr>
        <w:t xml:space="preserve">it </w:t>
      </w:r>
      <w:r w:rsidR="003E52CD">
        <w:rPr>
          <w:rFonts w:eastAsia="Arial" w:cs="Arial"/>
          <w:color w:val="000000" w:themeColor="text1"/>
          <w:szCs w:val="24"/>
        </w:rPr>
        <w:t>is perhaps</w:t>
      </w:r>
      <w:r w:rsidR="00306A33">
        <w:rPr>
          <w:rFonts w:eastAsia="Arial" w:cs="Arial"/>
          <w:color w:val="000000" w:themeColor="text1"/>
          <w:szCs w:val="24"/>
        </w:rPr>
        <w:t xml:space="preserve"> more straightforward </w:t>
      </w:r>
      <w:r w:rsidR="003E52CD">
        <w:rPr>
          <w:rFonts w:eastAsia="Arial" w:cs="Arial"/>
          <w:color w:val="000000" w:themeColor="text1"/>
          <w:szCs w:val="24"/>
        </w:rPr>
        <w:t xml:space="preserve">and logical to include all </w:t>
      </w:r>
      <w:r w:rsidR="006A6641">
        <w:rPr>
          <w:rFonts w:eastAsia="Arial" w:cs="Arial"/>
          <w:color w:val="000000" w:themeColor="text1"/>
          <w:szCs w:val="24"/>
        </w:rPr>
        <w:t>CVAs</w:t>
      </w:r>
      <w:r w:rsidR="005C7E77">
        <w:rPr>
          <w:rFonts w:eastAsia="Arial" w:cs="Arial"/>
          <w:color w:val="000000" w:themeColor="text1"/>
          <w:szCs w:val="24"/>
        </w:rPr>
        <w:t xml:space="preserve"> (or to remove them </w:t>
      </w:r>
      <w:proofErr w:type="gramStart"/>
      <w:r w:rsidR="005C7E77">
        <w:rPr>
          <w:rFonts w:eastAsia="Arial" w:cs="Arial"/>
          <w:color w:val="000000" w:themeColor="text1"/>
          <w:szCs w:val="24"/>
        </w:rPr>
        <w:t>entirely, if</w:t>
      </w:r>
      <w:proofErr w:type="gramEnd"/>
      <w:r w:rsidR="005C7E77">
        <w:rPr>
          <w:rFonts w:eastAsia="Arial" w:cs="Arial"/>
          <w:color w:val="000000" w:themeColor="text1"/>
          <w:szCs w:val="24"/>
        </w:rPr>
        <w:t xml:space="preserve"> that is the policy preference)</w:t>
      </w:r>
      <w:r w:rsidR="003E52CD">
        <w:rPr>
          <w:rFonts w:eastAsia="Arial" w:cs="Arial"/>
          <w:color w:val="000000" w:themeColor="text1"/>
          <w:szCs w:val="24"/>
        </w:rPr>
        <w:t xml:space="preserve">. As noted, </w:t>
      </w:r>
      <w:r w:rsidR="006A6641">
        <w:rPr>
          <w:rFonts w:eastAsia="Arial" w:cs="Arial"/>
          <w:color w:val="000000" w:themeColor="text1"/>
          <w:szCs w:val="24"/>
        </w:rPr>
        <w:t xml:space="preserve">there are </w:t>
      </w:r>
      <w:r w:rsidR="003E52CD">
        <w:rPr>
          <w:rFonts w:eastAsia="Arial" w:cs="Arial"/>
          <w:color w:val="000000" w:themeColor="text1"/>
          <w:szCs w:val="24"/>
        </w:rPr>
        <w:t xml:space="preserve">some </w:t>
      </w:r>
      <w:r w:rsidR="006A6641">
        <w:rPr>
          <w:rFonts w:eastAsia="Arial" w:cs="Arial"/>
          <w:color w:val="000000" w:themeColor="text1"/>
          <w:szCs w:val="24"/>
        </w:rPr>
        <w:t xml:space="preserve">limited </w:t>
      </w:r>
      <w:r w:rsidR="003E52CD">
        <w:rPr>
          <w:rFonts w:eastAsia="Arial" w:cs="Arial"/>
          <w:color w:val="000000" w:themeColor="text1"/>
          <w:szCs w:val="24"/>
        </w:rPr>
        <w:t xml:space="preserve">protections </w:t>
      </w:r>
      <w:r w:rsidR="006A6641">
        <w:rPr>
          <w:rFonts w:eastAsia="Arial" w:cs="Arial"/>
          <w:color w:val="000000" w:themeColor="text1"/>
          <w:szCs w:val="24"/>
        </w:rPr>
        <w:t xml:space="preserve">for potential </w:t>
      </w:r>
      <w:r w:rsidR="005C7E77">
        <w:rPr>
          <w:rFonts w:eastAsia="Arial" w:cs="Arial"/>
          <w:color w:val="000000" w:themeColor="text1"/>
          <w:szCs w:val="24"/>
        </w:rPr>
        <w:t xml:space="preserve">assignees or secured creditors </w:t>
      </w:r>
      <w:r w:rsidR="003E52CD">
        <w:rPr>
          <w:rFonts w:eastAsia="Arial" w:cs="Arial"/>
          <w:color w:val="000000" w:themeColor="text1"/>
          <w:szCs w:val="24"/>
        </w:rPr>
        <w:t xml:space="preserve">by virtue of the voting </w:t>
      </w:r>
      <w:r w:rsidR="00164FE4">
        <w:rPr>
          <w:rFonts w:eastAsia="Arial" w:cs="Arial"/>
          <w:color w:val="000000" w:themeColor="text1"/>
          <w:szCs w:val="24"/>
        </w:rPr>
        <w:t>requirements for CVAs.</w:t>
      </w:r>
    </w:p>
    <w:p w14:paraId="06EFB85E" w14:textId="77777777" w:rsidR="008008CE" w:rsidRDefault="008008CE" w:rsidP="5DEC2613">
      <w:pPr>
        <w:jc w:val="both"/>
        <w:rPr>
          <w:rFonts w:eastAsia="Arial" w:cs="Arial"/>
          <w:b/>
          <w:bCs/>
          <w:color w:val="000000" w:themeColor="text1"/>
          <w:szCs w:val="24"/>
        </w:rPr>
      </w:pPr>
    </w:p>
    <w:p w14:paraId="2919DD43" w14:textId="37351150" w:rsidR="7DAB25CC" w:rsidRDefault="7DAB25CC" w:rsidP="0073FC87">
      <w:pPr>
        <w:jc w:val="both"/>
        <w:rPr>
          <w:rFonts w:eastAsia="Arial" w:cs="Arial"/>
          <w:b/>
          <w:bCs/>
          <w:szCs w:val="24"/>
        </w:rPr>
      </w:pPr>
      <w:r w:rsidRPr="0073FC87">
        <w:rPr>
          <w:rFonts w:eastAsia="Arial" w:cs="Arial"/>
          <w:b/>
          <w:bCs/>
          <w:szCs w:val="24"/>
        </w:rPr>
        <w:t>Question S</w:t>
      </w:r>
      <w:r w:rsidR="00BF78D8">
        <w:rPr>
          <w:rFonts w:eastAsia="Arial" w:cs="Arial"/>
          <w:b/>
          <w:bCs/>
          <w:szCs w:val="24"/>
        </w:rPr>
        <w:t>even</w:t>
      </w:r>
      <w:r w:rsidRPr="0073FC87">
        <w:rPr>
          <w:rFonts w:eastAsia="Arial" w:cs="Arial"/>
          <w:b/>
          <w:bCs/>
          <w:szCs w:val="24"/>
        </w:rPr>
        <w:t xml:space="preserve"> – do you agree that the definition of insolvency should include the making of an order sanctioning an agreement under Part 26A of the Companies Act 2006?  If so</w:t>
      </w:r>
      <w:r w:rsidR="00C02C82">
        <w:rPr>
          <w:rFonts w:eastAsia="Arial" w:cs="Arial"/>
          <w:b/>
          <w:bCs/>
          <w:szCs w:val="24"/>
        </w:rPr>
        <w:t>,</w:t>
      </w:r>
      <w:r w:rsidRPr="0073FC87">
        <w:rPr>
          <w:rFonts w:eastAsia="Arial" w:cs="Arial"/>
          <w:b/>
          <w:bCs/>
          <w:szCs w:val="24"/>
        </w:rPr>
        <w:t xml:space="preserve"> at what point in the process should the definition be aligned to? Please provide reasons for your views.</w:t>
      </w:r>
    </w:p>
    <w:p w14:paraId="36FE68F9" w14:textId="77777777" w:rsidR="00FC2DD4" w:rsidRDefault="00FC2DD4" w:rsidP="0073FC87">
      <w:pPr>
        <w:jc w:val="both"/>
        <w:rPr>
          <w:rFonts w:eastAsia="Arial" w:cs="Arial"/>
          <w:b/>
          <w:bCs/>
          <w:szCs w:val="24"/>
        </w:rPr>
      </w:pPr>
    </w:p>
    <w:p w14:paraId="336EACD7" w14:textId="79E658D6" w:rsidR="00C4610A" w:rsidRDefault="00E320D0" w:rsidP="0073FC87">
      <w:pPr>
        <w:jc w:val="both"/>
        <w:rPr>
          <w:rFonts w:eastAsia="Arial" w:cs="Arial"/>
          <w:szCs w:val="24"/>
        </w:rPr>
      </w:pPr>
      <w:r>
        <w:rPr>
          <w:rFonts w:eastAsia="Arial" w:cs="Arial"/>
          <w:szCs w:val="24"/>
        </w:rPr>
        <w:t>T</w:t>
      </w:r>
      <w:r w:rsidR="00FC2DD4" w:rsidRPr="00FC2DD4">
        <w:rPr>
          <w:rFonts w:eastAsia="Arial" w:cs="Arial"/>
          <w:szCs w:val="24"/>
        </w:rPr>
        <w:t>he consultation paper mistakenly states that the second set of amendments was reversed</w:t>
      </w:r>
      <w:r w:rsidR="0038013D">
        <w:rPr>
          <w:rFonts w:eastAsia="Arial" w:cs="Arial"/>
          <w:szCs w:val="24"/>
        </w:rPr>
        <w:t xml:space="preserve">, when, in fact, </w:t>
      </w:r>
      <w:r w:rsidR="00FC2DD4" w:rsidRPr="00FC2DD4">
        <w:rPr>
          <w:rFonts w:eastAsia="Arial" w:cs="Arial"/>
          <w:szCs w:val="24"/>
        </w:rPr>
        <w:t xml:space="preserve">Pt 26A restructuring plans are included in the relevant procedures under the Act (as passed). </w:t>
      </w:r>
      <w:r w:rsidR="0038013D">
        <w:rPr>
          <w:rFonts w:eastAsia="Arial" w:cs="Arial"/>
          <w:szCs w:val="24"/>
        </w:rPr>
        <w:t xml:space="preserve">The inclusion of </w:t>
      </w:r>
      <w:r w:rsidR="00C4610A">
        <w:rPr>
          <w:rFonts w:eastAsia="Arial" w:cs="Arial"/>
          <w:szCs w:val="24"/>
        </w:rPr>
        <w:t xml:space="preserve">these plans is justified on the basis of consistency given the inclusion of CVAs. If either Pt 26A restructuring plans or CVAs are to be removed, the other should also be removed. </w:t>
      </w:r>
    </w:p>
    <w:p w14:paraId="6DFC19F2" w14:textId="77777777" w:rsidR="00416148" w:rsidRDefault="00416148" w:rsidP="0073FC87">
      <w:pPr>
        <w:jc w:val="both"/>
        <w:rPr>
          <w:rFonts w:eastAsia="Arial" w:cs="Arial"/>
          <w:szCs w:val="24"/>
        </w:rPr>
      </w:pPr>
    </w:p>
    <w:p w14:paraId="34BABA43" w14:textId="624207F7" w:rsidR="00432FC8" w:rsidRDefault="00432FC8" w:rsidP="00432FC8">
      <w:pPr>
        <w:jc w:val="both"/>
        <w:rPr>
          <w:rFonts w:eastAsia="Arial" w:cs="Arial"/>
          <w:szCs w:val="24"/>
        </w:rPr>
      </w:pPr>
      <w:r w:rsidRPr="00DF5576">
        <w:rPr>
          <w:rFonts w:eastAsia="Arial" w:cs="Arial"/>
          <w:szCs w:val="24"/>
        </w:rPr>
        <w:lastRenderedPageBreak/>
        <w:t xml:space="preserve">One of the main reasons why there has been debate regarding which insolvency procedures should be included is that it was not clear why certain procedures had been included in the first place while others were omitted. If CVAs are to be included, then on what basis should Pt 26A restructuring plans be excluded? While the CVAs regime </w:t>
      </w:r>
      <w:proofErr w:type="gramStart"/>
      <w:r w:rsidRPr="00DF5576">
        <w:rPr>
          <w:rFonts w:eastAsia="Arial" w:cs="Arial"/>
          <w:szCs w:val="24"/>
        </w:rPr>
        <w:t>is located in</w:t>
      </w:r>
      <w:proofErr w:type="gramEnd"/>
      <w:r w:rsidRPr="00DF5576">
        <w:rPr>
          <w:rFonts w:eastAsia="Arial" w:cs="Arial"/>
          <w:szCs w:val="24"/>
        </w:rPr>
        <w:t xml:space="preserve"> the Insolvency Act 1986, </w:t>
      </w:r>
      <w:r w:rsidR="00BF619D">
        <w:rPr>
          <w:rFonts w:eastAsia="Arial" w:cs="Arial"/>
          <w:szCs w:val="24"/>
        </w:rPr>
        <w:t>and</w:t>
      </w:r>
      <w:r w:rsidRPr="00DF5576">
        <w:rPr>
          <w:rFonts w:eastAsia="Arial" w:cs="Arial"/>
          <w:szCs w:val="24"/>
        </w:rPr>
        <w:t xml:space="preserve"> restructuring plans are in the Companies Act 2006, both are debt-oriented procedures, commenced via voting approval systems, and restructuring plans require financial distress </w:t>
      </w:r>
      <w:r>
        <w:rPr>
          <w:rFonts w:eastAsia="Arial" w:cs="Arial"/>
          <w:szCs w:val="24"/>
        </w:rPr>
        <w:t>(and this may involve actual insolvency)</w:t>
      </w:r>
      <w:r w:rsidR="00C21058">
        <w:rPr>
          <w:rFonts w:eastAsia="Arial" w:cs="Arial"/>
          <w:szCs w:val="24"/>
        </w:rPr>
        <w:t>, while</w:t>
      </w:r>
      <w:r w:rsidRPr="00DF5576">
        <w:rPr>
          <w:rFonts w:eastAsia="Arial" w:cs="Arial"/>
          <w:szCs w:val="24"/>
        </w:rPr>
        <w:t xml:space="preserve"> CVAs technically do not</w:t>
      </w:r>
      <w:r>
        <w:rPr>
          <w:rFonts w:eastAsia="Arial" w:cs="Arial"/>
          <w:szCs w:val="24"/>
        </w:rPr>
        <w:t xml:space="preserve"> (albeit that </w:t>
      </w:r>
      <w:r w:rsidR="00745E55">
        <w:rPr>
          <w:rFonts w:eastAsia="Arial" w:cs="Arial"/>
          <w:szCs w:val="24"/>
        </w:rPr>
        <w:t xml:space="preserve">in practice they involve financially distressed and </w:t>
      </w:r>
      <w:r>
        <w:rPr>
          <w:rFonts w:eastAsia="Arial" w:cs="Arial"/>
          <w:szCs w:val="24"/>
        </w:rPr>
        <w:t xml:space="preserve">often </w:t>
      </w:r>
      <w:r w:rsidR="006A3EDA">
        <w:rPr>
          <w:rFonts w:eastAsia="Arial" w:cs="Arial"/>
          <w:szCs w:val="24"/>
        </w:rPr>
        <w:t>insolvent companies)</w:t>
      </w:r>
      <w:r w:rsidRPr="00DF5576">
        <w:rPr>
          <w:rFonts w:eastAsia="Arial" w:cs="Arial"/>
          <w:szCs w:val="24"/>
        </w:rPr>
        <w:t>.</w:t>
      </w:r>
    </w:p>
    <w:p w14:paraId="5E9B065C" w14:textId="77777777" w:rsidR="00432FC8" w:rsidRDefault="00432FC8" w:rsidP="00432FC8">
      <w:pPr>
        <w:jc w:val="both"/>
        <w:rPr>
          <w:rFonts w:eastAsia="Arial" w:cs="Arial"/>
          <w:szCs w:val="24"/>
        </w:rPr>
      </w:pPr>
    </w:p>
    <w:p w14:paraId="35C9BBF3" w14:textId="401B1AF6" w:rsidR="005937F7" w:rsidRDefault="00416148" w:rsidP="0073FC87">
      <w:pPr>
        <w:jc w:val="both"/>
        <w:rPr>
          <w:rFonts w:eastAsia="Arial" w:cs="Arial"/>
          <w:szCs w:val="24"/>
        </w:rPr>
      </w:pPr>
      <w:r>
        <w:rPr>
          <w:rFonts w:eastAsia="Arial" w:cs="Arial"/>
          <w:szCs w:val="24"/>
        </w:rPr>
        <w:t xml:space="preserve">If restructuring plans are to be included, the relevant point should </w:t>
      </w:r>
      <w:r w:rsidR="00035714">
        <w:rPr>
          <w:rFonts w:eastAsia="Arial" w:cs="Arial"/>
          <w:szCs w:val="24"/>
        </w:rPr>
        <w:t xml:space="preserve">be </w:t>
      </w:r>
      <w:r w:rsidR="00424A58">
        <w:rPr>
          <w:rFonts w:eastAsia="Arial" w:cs="Arial"/>
          <w:szCs w:val="24"/>
        </w:rPr>
        <w:t xml:space="preserve">the granting of a court order under s 901F. It is only at this point that a restructuring plan </w:t>
      </w:r>
      <w:r w:rsidR="00E36DCC">
        <w:rPr>
          <w:rFonts w:eastAsia="Arial" w:cs="Arial"/>
          <w:szCs w:val="24"/>
        </w:rPr>
        <w:t xml:space="preserve">formally </w:t>
      </w:r>
      <w:proofErr w:type="gramStart"/>
      <w:r w:rsidR="00424A58">
        <w:rPr>
          <w:rFonts w:eastAsia="Arial" w:cs="Arial"/>
          <w:szCs w:val="24"/>
        </w:rPr>
        <w:t>commences</w:t>
      </w:r>
      <w:proofErr w:type="gramEnd"/>
      <w:r w:rsidR="00424A58">
        <w:rPr>
          <w:rFonts w:eastAsia="Arial" w:cs="Arial"/>
          <w:szCs w:val="24"/>
        </w:rPr>
        <w:t xml:space="preserve"> and it provides a significant element of publicity to third parties. It also offers more consistency with the trigger point for CVAs. </w:t>
      </w:r>
      <w:r w:rsidR="00506FBB">
        <w:rPr>
          <w:rFonts w:eastAsia="Arial" w:cs="Arial"/>
          <w:szCs w:val="24"/>
        </w:rPr>
        <w:t>Furthermore, if an earlier point is chosen</w:t>
      </w:r>
      <w:r w:rsidR="005937F7">
        <w:rPr>
          <w:rFonts w:eastAsia="Arial" w:cs="Arial"/>
          <w:szCs w:val="24"/>
        </w:rPr>
        <w:t>, the restructuring plan may not actually be approved and the proposed assignee or secured creditor may be considered unfairly disadvantaged</w:t>
      </w:r>
      <w:r w:rsidR="00A11DFD">
        <w:rPr>
          <w:rFonts w:eastAsia="Arial" w:cs="Arial"/>
          <w:szCs w:val="24"/>
        </w:rPr>
        <w:t xml:space="preserve">. </w:t>
      </w:r>
    </w:p>
    <w:p w14:paraId="7B25DBB5" w14:textId="77777777" w:rsidR="005937F7" w:rsidRDefault="005937F7" w:rsidP="0073FC87">
      <w:pPr>
        <w:jc w:val="both"/>
        <w:rPr>
          <w:rFonts w:eastAsia="Arial" w:cs="Arial"/>
          <w:szCs w:val="24"/>
        </w:rPr>
      </w:pPr>
    </w:p>
    <w:p w14:paraId="120C1BB9" w14:textId="63610BC7" w:rsidR="00C4610A" w:rsidRDefault="005937F7" w:rsidP="0073FC87">
      <w:pPr>
        <w:jc w:val="both"/>
        <w:rPr>
          <w:rFonts w:eastAsia="Arial" w:cs="Arial"/>
          <w:szCs w:val="24"/>
        </w:rPr>
      </w:pPr>
      <w:r>
        <w:rPr>
          <w:rFonts w:eastAsia="Arial" w:cs="Arial"/>
          <w:szCs w:val="24"/>
        </w:rPr>
        <w:t>Also, t</w:t>
      </w:r>
      <w:r w:rsidR="00A11DFD">
        <w:rPr>
          <w:rFonts w:eastAsia="Arial" w:cs="Arial"/>
          <w:szCs w:val="24"/>
        </w:rPr>
        <w:t xml:space="preserve">he suggestion that </w:t>
      </w:r>
      <w:r w:rsidR="00172E49">
        <w:rPr>
          <w:rFonts w:eastAsia="Arial" w:cs="Arial"/>
          <w:szCs w:val="24"/>
        </w:rPr>
        <w:t xml:space="preserve">a company’s financial difficulties will have been eliminated or limited at the point at which the restructuring plan is </w:t>
      </w:r>
      <w:r w:rsidR="00B26708">
        <w:rPr>
          <w:rFonts w:eastAsia="Arial" w:cs="Arial"/>
          <w:szCs w:val="24"/>
        </w:rPr>
        <w:t xml:space="preserve">sanctioned </w:t>
      </w:r>
      <w:r>
        <w:rPr>
          <w:rFonts w:eastAsia="Arial" w:cs="Arial"/>
          <w:szCs w:val="24"/>
        </w:rPr>
        <w:t>wi</w:t>
      </w:r>
      <w:r w:rsidR="00432FC8">
        <w:rPr>
          <w:rFonts w:eastAsia="Arial" w:cs="Arial"/>
          <w:szCs w:val="24"/>
        </w:rPr>
        <w:t>ll</w:t>
      </w:r>
      <w:r>
        <w:rPr>
          <w:rFonts w:eastAsia="Arial" w:cs="Arial"/>
          <w:szCs w:val="24"/>
        </w:rPr>
        <w:t xml:space="preserve"> not always be</w:t>
      </w:r>
      <w:r w:rsidR="0088620C">
        <w:rPr>
          <w:rFonts w:eastAsia="Arial" w:cs="Arial"/>
          <w:szCs w:val="24"/>
        </w:rPr>
        <w:t xml:space="preserve"> accurate. A company may be on a possible path to recovery but is likely still dealing with financial difficulties, </w:t>
      </w:r>
      <w:r w:rsidR="007E5E61">
        <w:rPr>
          <w:rFonts w:eastAsia="Arial" w:cs="Arial"/>
          <w:szCs w:val="24"/>
        </w:rPr>
        <w:t>in the same way that a</w:t>
      </w:r>
      <w:r w:rsidR="0088620C">
        <w:rPr>
          <w:rFonts w:eastAsia="Arial" w:cs="Arial"/>
          <w:szCs w:val="24"/>
        </w:rPr>
        <w:t xml:space="preserve"> company would be in other procedures.</w:t>
      </w:r>
      <w:r w:rsidR="008F606C">
        <w:rPr>
          <w:rFonts w:eastAsia="Arial" w:cs="Arial"/>
          <w:szCs w:val="24"/>
        </w:rPr>
        <w:t xml:space="preserve"> </w:t>
      </w:r>
    </w:p>
    <w:p w14:paraId="3DBDFEAF" w14:textId="77777777" w:rsidR="006A2D2B" w:rsidRDefault="006A2D2B" w:rsidP="0073FC87">
      <w:pPr>
        <w:jc w:val="both"/>
        <w:rPr>
          <w:rFonts w:eastAsia="Arial" w:cs="Arial"/>
          <w:b/>
          <w:bCs/>
          <w:szCs w:val="24"/>
        </w:rPr>
      </w:pPr>
    </w:p>
    <w:p w14:paraId="41275C64" w14:textId="4D08F606" w:rsidR="003614D2" w:rsidRDefault="003614D2" w:rsidP="003614D2">
      <w:pPr>
        <w:spacing w:line="259" w:lineRule="auto"/>
        <w:jc w:val="both"/>
        <w:rPr>
          <w:b/>
          <w:bCs/>
        </w:rPr>
      </w:pPr>
      <w:r w:rsidRPr="00BF78D8">
        <w:rPr>
          <w:b/>
          <w:bCs/>
        </w:rPr>
        <w:t>Question Eight – should only compromises or arrangements which include the claim/encumbered property fall within the definition?  Please provide reasons for your views.</w:t>
      </w:r>
    </w:p>
    <w:p w14:paraId="0C696E14" w14:textId="77777777" w:rsidR="00D83B35" w:rsidRPr="00D83B35" w:rsidRDefault="00D83B35" w:rsidP="003614D2">
      <w:pPr>
        <w:spacing w:line="259" w:lineRule="auto"/>
        <w:jc w:val="both"/>
      </w:pPr>
    </w:p>
    <w:p w14:paraId="0C641F65" w14:textId="70866550" w:rsidR="005A5AAA" w:rsidRPr="006A008D" w:rsidRDefault="006A3EDA" w:rsidP="005A5AAA">
      <w:pPr>
        <w:jc w:val="both"/>
        <w:rPr>
          <w:rFonts w:eastAsia="Arial" w:cs="Arial"/>
          <w:szCs w:val="24"/>
        </w:rPr>
      </w:pPr>
      <w:r>
        <w:rPr>
          <w:rFonts w:eastAsia="Arial" w:cs="Arial"/>
          <w:szCs w:val="24"/>
        </w:rPr>
        <w:t>See our above comments</w:t>
      </w:r>
      <w:r w:rsidR="0006639D">
        <w:rPr>
          <w:rFonts w:eastAsia="Arial" w:cs="Arial"/>
          <w:szCs w:val="24"/>
        </w:rPr>
        <w:t>, including</w:t>
      </w:r>
      <w:r>
        <w:rPr>
          <w:rFonts w:eastAsia="Arial" w:cs="Arial"/>
          <w:szCs w:val="24"/>
        </w:rPr>
        <w:t xml:space="preserve"> in relation to CVAs. </w:t>
      </w:r>
      <w:r w:rsidR="0006639D">
        <w:rPr>
          <w:rFonts w:eastAsia="Arial" w:cs="Arial"/>
          <w:szCs w:val="24"/>
        </w:rPr>
        <w:t xml:space="preserve">The same reasoning may </w:t>
      </w:r>
      <w:r w:rsidRPr="006A2D2B">
        <w:rPr>
          <w:rFonts w:eastAsia="Arial" w:cs="Arial"/>
          <w:szCs w:val="24"/>
        </w:rPr>
        <w:t xml:space="preserve">justify removing the </w:t>
      </w:r>
      <w:r w:rsidR="0006639D">
        <w:rPr>
          <w:rFonts w:eastAsia="Arial" w:cs="Arial"/>
          <w:szCs w:val="24"/>
        </w:rPr>
        <w:t xml:space="preserve">relevant </w:t>
      </w:r>
      <w:r w:rsidRPr="006A2D2B">
        <w:rPr>
          <w:rFonts w:eastAsia="Arial" w:cs="Arial"/>
          <w:szCs w:val="24"/>
        </w:rPr>
        <w:t xml:space="preserve">wording for Pt 26A plans, </w:t>
      </w:r>
      <w:r w:rsidR="0006639D">
        <w:rPr>
          <w:rFonts w:eastAsia="Arial" w:cs="Arial"/>
          <w:szCs w:val="24"/>
        </w:rPr>
        <w:t>so that all such plans are included.</w:t>
      </w:r>
      <w:r w:rsidR="007B57E6">
        <w:rPr>
          <w:rFonts w:eastAsia="Arial" w:cs="Arial"/>
          <w:szCs w:val="24"/>
        </w:rPr>
        <w:t xml:space="preserve"> </w:t>
      </w:r>
      <w:r w:rsidR="00647AB8">
        <w:rPr>
          <w:rFonts w:eastAsia="Arial" w:cs="Arial"/>
          <w:szCs w:val="24"/>
        </w:rPr>
        <w:t>As a primarily debt-oriented procedure, a reference to property in the definition may cause confusion</w:t>
      </w:r>
      <w:r w:rsidR="00163578">
        <w:rPr>
          <w:rFonts w:eastAsia="Arial" w:cs="Arial"/>
          <w:szCs w:val="24"/>
        </w:rPr>
        <w:t xml:space="preserve"> and would also require the checking of the details of the plan in any given instance</w:t>
      </w:r>
      <w:r w:rsidR="00700FE2">
        <w:rPr>
          <w:rFonts w:eastAsia="Arial" w:cs="Arial"/>
          <w:szCs w:val="24"/>
        </w:rPr>
        <w:t xml:space="preserve"> to determine its effects</w:t>
      </w:r>
      <w:r w:rsidR="00647AB8">
        <w:rPr>
          <w:rFonts w:eastAsia="Arial" w:cs="Arial"/>
          <w:szCs w:val="24"/>
        </w:rPr>
        <w:t xml:space="preserve">. </w:t>
      </w:r>
      <w:r w:rsidR="0006639D">
        <w:rPr>
          <w:rFonts w:eastAsia="Arial" w:cs="Arial"/>
          <w:szCs w:val="24"/>
        </w:rPr>
        <w:t xml:space="preserve">In addition, there is currently inconsistency with </w:t>
      </w:r>
      <w:r w:rsidR="00163578">
        <w:rPr>
          <w:rFonts w:eastAsia="Arial" w:cs="Arial"/>
          <w:szCs w:val="24"/>
        </w:rPr>
        <w:t xml:space="preserve">the provisions for </w:t>
      </w:r>
      <w:r w:rsidR="0006639D">
        <w:rPr>
          <w:rFonts w:eastAsia="Arial" w:cs="Arial"/>
          <w:szCs w:val="24"/>
        </w:rPr>
        <w:t>CVAs</w:t>
      </w:r>
      <w:r w:rsidR="00163578">
        <w:rPr>
          <w:rFonts w:eastAsia="Arial" w:cs="Arial"/>
          <w:szCs w:val="24"/>
        </w:rPr>
        <w:t xml:space="preserve">, for which there are no equivalent references to </w:t>
      </w:r>
      <w:r w:rsidR="00384395">
        <w:rPr>
          <w:rFonts w:eastAsia="Arial" w:cs="Arial"/>
          <w:szCs w:val="24"/>
        </w:rPr>
        <w:t>“</w:t>
      </w:r>
      <w:r w:rsidR="00384395" w:rsidRPr="00384395">
        <w:rPr>
          <w:rFonts w:eastAsia="Arial" w:cs="Arial"/>
          <w:szCs w:val="24"/>
        </w:rPr>
        <w:t>over all or part of the property</w:t>
      </w:r>
      <w:r w:rsidR="00384395">
        <w:rPr>
          <w:rFonts w:eastAsia="Arial" w:cs="Arial"/>
          <w:szCs w:val="24"/>
        </w:rPr>
        <w:t>”</w:t>
      </w:r>
      <w:r w:rsidR="00700FE2">
        <w:rPr>
          <w:rFonts w:eastAsia="Arial" w:cs="Arial"/>
          <w:szCs w:val="24"/>
        </w:rPr>
        <w:t>.</w:t>
      </w:r>
      <w:r w:rsidR="006A008D">
        <w:rPr>
          <w:rFonts w:eastAsia="Arial" w:cs="Arial"/>
          <w:szCs w:val="24"/>
        </w:rPr>
        <w:t xml:space="preserve"> It is desirable to adopt a consistent approach on this point. </w:t>
      </w:r>
    </w:p>
    <w:sectPr w:rsidR="005A5AAA" w:rsidRPr="006A008D" w:rsidSect="00B561C0">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10BC" w14:textId="77777777" w:rsidR="00683104" w:rsidRDefault="00683104" w:rsidP="00036965">
      <w:r>
        <w:separator/>
      </w:r>
    </w:p>
  </w:endnote>
  <w:endnote w:type="continuationSeparator" w:id="0">
    <w:p w14:paraId="234CAE34" w14:textId="77777777" w:rsidR="00683104" w:rsidRDefault="00683104" w:rsidP="0003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50876"/>
      <w:docPartObj>
        <w:docPartGallery w:val="Page Numbers (Bottom of Page)"/>
        <w:docPartUnique/>
      </w:docPartObj>
    </w:sdtPr>
    <w:sdtEndPr>
      <w:rPr>
        <w:noProof/>
      </w:rPr>
    </w:sdtEndPr>
    <w:sdtContent>
      <w:p w14:paraId="158F7D6D" w14:textId="5B3441C2" w:rsidR="004D2E33" w:rsidRDefault="004D2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655D6" w14:textId="77777777" w:rsidR="004D2E33" w:rsidRDefault="004D2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FCA0" w14:textId="77777777" w:rsidR="00683104" w:rsidRDefault="00683104" w:rsidP="00036965">
      <w:r>
        <w:separator/>
      </w:r>
    </w:p>
  </w:footnote>
  <w:footnote w:type="continuationSeparator" w:id="0">
    <w:p w14:paraId="098AD9F5" w14:textId="77777777" w:rsidR="00683104" w:rsidRDefault="00683104" w:rsidP="0003696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435C9C1"/>
    <w:multiLevelType w:val="hybridMultilevel"/>
    <w:tmpl w:val="A3AEE8F0"/>
    <w:lvl w:ilvl="0" w:tplc="D00032E0">
      <w:start w:val="1"/>
      <w:numFmt w:val="bullet"/>
      <w:lvlText w:val=""/>
      <w:lvlJc w:val="left"/>
      <w:pPr>
        <w:ind w:left="720" w:hanging="360"/>
      </w:pPr>
      <w:rPr>
        <w:rFonts w:ascii="Symbol" w:hAnsi="Symbol" w:hint="default"/>
      </w:rPr>
    </w:lvl>
    <w:lvl w:ilvl="1" w:tplc="488455C6">
      <w:start w:val="1"/>
      <w:numFmt w:val="bullet"/>
      <w:lvlText w:val="o"/>
      <w:lvlJc w:val="left"/>
      <w:pPr>
        <w:ind w:left="1440" w:hanging="360"/>
      </w:pPr>
      <w:rPr>
        <w:rFonts w:ascii="Courier New" w:hAnsi="Courier New" w:hint="default"/>
      </w:rPr>
    </w:lvl>
    <w:lvl w:ilvl="2" w:tplc="04489BCE">
      <w:start w:val="1"/>
      <w:numFmt w:val="bullet"/>
      <w:lvlText w:val=""/>
      <w:lvlJc w:val="left"/>
      <w:pPr>
        <w:ind w:left="2160" w:hanging="360"/>
      </w:pPr>
      <w:rPr>
        <w:rFonts w:ascii="Wingdings" w:hAnsi="Wingdings" w:hint="default"/>
      </w:rPr>
    </w:lvl>
    <w:lvl w:ilvl="3" w:tplc="DD8CE480">
      <w:start w:val="1"/>
      <w:numFmt w:val="bullet"/>
      <w:lvlText w:val=""/>
      <w:lvlJc w:val="left"/>
      <w:pPr>
        <w:ind w:left="2880" w:hanging="360"/>
      </w:pPr>
      <w:rPr>
        <w:rFonts w:ascii="Symbol" w:hAnsi="Symbol" w:hint="default"/>
      </w:rPr>
    </w:lvl>
    <w:lvl w:ilvl="4" w:tplc="B26A2A22">
      <w:start w:val="1"/>
      <w:numFmt w:val="bullet"/>
      <w:lvlText w:val="o"/>
      <w:lvlJc w:val="left"/>
      <w:pPr>
        <w:ind w:left="3600" w:hanging="360"/>
      </w:pPr>
      <w:rPr>
        <w:rFonts w:ascii="Courier New" w:hAnsi="Courier New" w:hint="default"/>
      </w:rPr>
    </w:lvl>
    <w:lvl w:ilvl="5" w:tplc="BBD2E80E">
      <w:start w:val="1"/>
      <w:numFmt w:val="bullet"/>
      <w:lvlText w:val=""/>
      <w:lvlJc w:val="left"/>
      <w:pPr>
        <w:ind w:left="4320" w:hanging="360"/>
      </w:pPr>
      <w:rPr>
        <w:rFonts w:ascii="Wingdings" w:hAnsi="Wingdings" w:hint="default"/>
      </w:rPr>
    </w:lvl>
    <w:lvl w:ilvl="6" w:tplc="E85CC9E6">
      <w:start w:val="1"/>
      <w:numFmt w:val="bullet"/>
      <w:lvlText w:val=""/>
      <w:lvlJc w:val="left"/>
      <w:pPr>
        <w:ind w:left="5040" w:hanging="360"/>
      </w:pPr>
      <w:rPr>
        <w:rFonts w:ascii="Symbol" w:hAnsi="Symbol" w:hint="default"/>
      </w:rPr>
    </w:lvl>
    <w:lvl w:ilvl="7" w:tplc="22F0BB42">
      <w:start w:val="1"/>
      <w:numFmt w:val="bullet"/>
      <w:lvlText w:val="o"/>
      <w:lvlJc w:val="left"/>
      <w:pPr>
        <w:ind w:left="5760" w:hanging="360"/>
      </w:pPr>
      <w:rPr>
        <w:rFonts w:ascii="Courier New" w:hAnsi="Courier New" w:hint="default"/>
      </w:rPr>
    </w:lvl>
    <w:lvl w:ilvl="8" w:tplc="511E5F18">
      <w:start w:val="1"/>
      <w:numFmt w:val="bullet"/>
      <w:lvlText w:val=""/>
      <w:lvlJc w:val="left"/>
      <w:pPr>
        <w:ind w:left="6480" w:hanging="360"/>
      </w:pPr>
      <w:rPr>
        <w:rFonts w:ascii="Wingdings" w:hAnsi="Wingdings" w:hint="default"/>
      </w:rPr>
    </w:lvl>
  </w:abstractNum>
  <w:abstractNum w:abstractNumId="2" w15:restartNumberingAfterBreak="0">
    <w:nsid w:val="17917C8E"/>
    <w:multiLevelType w:val="hybridMultilevel"/>
    <w:tmpl w:val="79483C92"/>
    <w:lvl w:ilvl="0" w:tplc="309632A8">
      <w:numFmt w:val="none"/>
      <w:lvlText w:val=""/>
      <w:lvlJc w:val="left"/>
      <w:pPr>
        <w:tabs>
          <w:tab w:val="num" w:pos="360"/>
        </w:tabs>
      </w:pPr>
    </w:lvl>
    <w:lvl w:ilvl="1" w:tplc="A35EFEDE">
      <w:start w:val="1"/>
      <w:numFmt w:val="lowerLetter"/>
      <w:lvlText w:val="%2."/>
      <w:lvlJc w:val="left"/>
      <w:pPr>
        <w:ind w:left="1440" w:hanging="360"/>
      </w:pPr>
    </w:lvl>
    <w:lvl w:ilvl="2" w:tplc="22824416">
      <w:start w:val="1"/>
      <w:numFmt w:val="lowerRoman"/>
      <w:lvlText w:val="%3."/>
      <w:lvlJc w:val="right"/>
      <w:pPr>
        <w:ind w:left="2160" w:hanging="180"/>
      </w:pPr>
    </w:lvl>
    <w:lvl w:ilvl="3" w:tplc="4F88A562">
      <w:start w:val="1"/>
      <w:numFmt w:val="decimal"/>
      <w:lvlText w:val="%4."/>
      <w:lvlJc w:val="left"/>
      <w:pPr>
        <w:ind w:left="2880" w:hanging="360"/>
      </w:pPr>
    </w:lvl>
    <w:lvl w:ilvl="4" w:tplc="1820E8CC">
      <w:start w:val="1"/>
      <w:numFmt w:val="lowerLetter"/>
      <w:lvlText w:val="%5."/>
      <w:lvlJc w:val="left"/>
      <w:pPr>
        <w:ind w:left="3600" w:hanging="360"/>
      </w:pPr>
    </w:lvl>
    <w:lvl w:ilvl="5" w:tplc="58A403CA">
      <w:start w:val="1"/>
      <w:numFmt w:val="lowerRoman"/>
      <w:lvlText w:val="%6."/>
      <w:lvlJc w:val="right"/>
      <w:pPr>
        <w:ind w:left="4320" w:hanging="180"/>
      </w:pPr>
    </w:lvl>
    <w:lvl w:ilvl="6" w:tplc="96384ACE">
      <w:start w:val="1"/>
      <w:numFmt w:val="decimal"/>
      <w:lvlText w:val="%7."/>
      <w:lvlJc w:val="left"/>
      <w:pPr>
        <w:ind w:left="5040" w:hanging="360"/>
      </w:pPr>
    </w:lvl>
    <w:lvl w:ilvl="7" w:tplc="23605E56">
      <w:start w:val="1"/>
      <w:numFmt w:val="lowerLetter"/>
      <w:lvlText w:val="%8."/>
      <w:lvlJc w:val="left"/>
      <w:pPr>
        <w:ind w:left="5760" w:hanging="360"/>
      </w:pPr>
    </w:lvl>
    <w:lvl w:ilvl="8" w:tplc="A5401022">
      <w:start w:val="1"/>
      <w:numFmt w:val="lowerRoman"/>
      <w:lvlText w:val="%9."/>
      <w:lvlJc w:val="right"/>
      <w:pPr>
        <w:ind w:left="6480" w:hanging="180"/>
      </w:pPr>
    </w:lvl>
  </w:abstractNum>
  <w:abstractNum w:abstractNumId="3" w15:restartNumberingAfterBreak="0">
    <w:nsid w:val="1C671AB6"/>
    <w:multiLevelType w:val="hybridMultilevel"/>
    <w:tmpl w:val="C09CBAB2"/>
    <w:lvl w:ilvl="0" w:tplc="ACBAD4B4">
      <w:numFmt w:val="none"/>
      <w:lvlText w:val=""/>
      <w:lvlJc w:val="left"/>
      <w:pPr>
        <w:tabs>
          <w:tab w:val="num" w:pos="360"/>
        </w:tabs>
      </w:pPr>
    </w:lvl>
    <w:lvl w:ilvl="1" w:tplc="A0D8F6C6">
      <w:start w:val="1"/>
      <w:numFmt w:val="lowerLetter"/>
      <w:lvlText w:val="%2."/>
      <w:lvlJc w:val="left"/>
      <w:pPr>
        <w:ind w:left="1440" w:hanging="360"/>
      </w:pPr>
    </w:lvl>
    <w:lvl w:ilvl="2" w:tplc="C5ACDC00">
      <w:start w:val="1"/>
      <w:numFmt w:val="lowerRoman"/>
      <w:lvlText w:val="%3."/>
      <w:lvlJc w:val="right"/>
      <w:pPr>
        <w:ind w:left="2160" w:hanging="180"/>
      </w:pPr>
    </w:lvl>
    <w:lvl w:ilvl="3" w:tplc="7660BC2C">
      <w:start w:val="1"/>
      <w:numFmt w:val="decimal"/>
      <w:lvlText w:val="%4."/>
      <w:lvlJc w:val="left"/>
      <w:pPr>
        <w:ind w:left="2880" w:hanging="360"/>
      </w:pPr>
    </w:lvl>
    <w:lvl w:ilvl="4" w:tplc="83361352">
      <w:start w:val="1"/>
      <w:numFmt w:val="lowerLetter"/>
      <w:lvlText w:val="%5."/>
      <w:lvlJc w:val="left"/>
      <w:pPr>
        <w:ind w:left="3600" w:hanging="360"/>
      </w:pPr>
    </w:lvl>
    <w:lvl w:ilvl="5" w:tplc="9C528030">
      <w:start w:val="1"/>
      <w:numFmt w:val="lowerRoman"/>
      <w:lvlText w:val="%6."/>
      <w:lvlJc w:val="right"/>
      <w:pPr>
        <w:ind w:left="4320" w:hanging="180"/>
      </w:pPr>
    </w:lvl>
    <w:lvl w:ilvl="6" w:tplc="0EA2A5AA">
      <w:start w:val="1"/>
      <w:numFmt w:val="decimal"/>
      <w:lvlText w:val="%7."/>
      <w:lvlJc w:val="left"/>
      <w:pPr>
        <w:ind w:left="5040" w:hanging="360"/>
      </w:pPr>
    </w:lvl>
    <w:lvl w:ilvl="7" w:tplc="E8B029DA">
      <w:start w:val="1"/>
      <w:numFmt w:val="lowerLetter"/>
      <w:lvlText w:val="%8."/>
      <w:lvlJc w:val="left"/>
      <w:pPr>
        <w:ind w:left="5760" w:hanging="360"/>
      </w:pPr>
    </w:lvl>
    <w:lvl w:ilvl="8" w:tplc="EB3AA40E">
      <w:start w:val="1"/>
      <w:numFmt w:val="lowerRoman"/>
      <w:lvlText w:val="%9."/>
      <w:lvlJc w:val="right"/>
      <w:pPr>
        <w:ind w:left="6480" w:hanging="180"/>
      </w:pPr>
    </w:lvl>
  </w:abstractNum>
  <w:abstractNum w:abstractNumId="4" w15:restartNumberingAfterBreak="0">
    <w:nsid w:val="1CEFE975"/>
    <w:multiLevelType w:val="hybridMultilevel"/>
    <w:tmpl w:val="48684EB4"/>
    <w:lvl w:ilvl="0" w:tplc="A4C80CAA">
      <w:numFmt w:val="none"/>
      <w:lvlText w:val=""/>
      <w:lvlJc w:val="left"/>
      <w:pPr>
        <w:tabs>
          <w:tab w:val="num" w:pos="360"/>
        </w:tabs>
      </w:pPr>
    </w:lvl>
    <w:lvl w:ilvl="1" w:tplc="42A2C0FA">
      <w:start w:val="1"/>
      <w:numFmt w:val="lowerLetter"/>
      <w:lvlText w:val="%2."/>
      <w:lvlJc w:val="left"/>
      <w:pPr>
        <w:ind w:left="1440" w:hanging="360"/>
      </w:pPr>
    </w:lvl>
    <w:lvl w:ilvl="2" w:tplc="C2CC988A">
      <w:start w:val="1"/>
      <w:numFmt w:val="lowerRoman"/>
      <w:lvlText w:val="%3."/>
      <w:lvlJc w:val="right"/>
      <w:pPr>
        <w:ind w:left="2160" w:hanging="180"/>
      </w:pPr>
    </w:lvl>
    <w:lvl w:ilvl="3" w:tplc="880A65CE">
      <w:start w:val="1"/>
      <w:numFmt w:val="decimal"/>
      <w:lvlText w:val="%4."/>
      <w:lvlJc w:val="left"/>
      <w:pPr>
        <w:ind w:left="2880" w:hanging="360"/>
      </w:pPr>
    </w:lvl>
    <w:lvl w:ilvl="4" w:tplc="F484EF64">
      <w:start w:val="1"/>
      <w:numFmt w:val="lowerLetter"/>
      <w:lvlText w:val="%5."/>
      <w:lvlJc w:val="left"/>
      <w:pPr>
        <w:ind w:left="3600" w:hanging="360"/>
      </w:pPr>
    </w:lvl>
    <w:lvl w:ilvl="5" w:tplc="946C8AAA">
      <w:start w:val="1"/>
      <w:numFmt w:val="lowerRoman"/>
      <w:lvlText w:val="%6."/>
      <w:lvlJc w:val="right"/>
      <w:pPr>
        <w:ind w:left="4320" w:hanging="180"/>
      </w:pPr>
    </w:lvl>
    <w:lvl w:ilvl="6" w:tplc="475632A0">
      <w:start w:val="1"/>
      <w:numFmt w:val="decimal"/>
      <w:lvlText w:val="%7."/>
      <w:lvlJc w:val="left"/>
      <w:pPr>
        <w:ind w:left="5040" w:hanging="360"/>
      </w:pPr>
    </w:lvl>
    <w:lvl w:ilvl="7" w:tplc="B526100A">
      <w:start w:val="1"/>
      <w:numFmt w:val="lowerLetter"/>
      <w:lvlText w:val="%8."/>
      <w:lvlJc w:val="left"/>
      <w:pPr>
        <w:ind w:left="5760" w:hanging="360"/>
      </w:pPr>
    </w:lvl>
    <w:lvl w:ilvl="8" w:tplc="D514E04C">
      <w:start w:val="1"/>
      <w:numFmt w:val="lowerRoman"/>
      <w:lvlText w:val="%9."/>
      <w:lvlJc w:val="right"/>
      <w:pPr>
        <w:ind w:left="6480" w:hanging="180"/>
      </w:pPr>
    </w:lvl>
  </w:abstractNum>
  <w:abstractNum w:abstractNumId="5" w15:restartNumberingAfterBreak="0">
    <w:nsid w:val="1F3DF926"/>
    <w:multiLevelType w:val="hybridMultilevel"/>
    <w:tmpl w:val="FBFA62CE"/>
    <w:lvl w:ilvl="0" w:tplc="DA4E9186">
      <w:numFmt w:val="none"/>
      <w:lvlText w:val=""/>
      <w:lvlJc w:val="left"/>
      <w:pPr>
        <w:tabs>
          <w:tab w:val="num" w:pos="360"/>
        </w:tabs>
      </w:pPr>
    </w:lvl>
    <w:lvl w:ilvl="1" w:tplc="28CC84AA">
      <w:start w:val="1"/>
      <w:numFmt w:val="lowerLetter"/>
      <w:lvlText w:val="%2."/>
      <w:lvlJc w:val="left"/>
      <w:pPr>
        <w:ind w:left="1440" w:hanging="360"/>
      </w:pPr>
    </w:lvl>
    <w:lvl w:ilvl="2" w:tplc="F3802766">
      <w:start w:val="1"/>
      <w:numFmt w:val="lowerRoman"/>
      <w:lvlText w:val="%3."/>
      <w:lvlJc w:val="right"/>
      <w:pPr>
        <w:ind w:left="2160" w:hanging="180"/>
      </w:pPr>
    </w:lvl>
    <w:lvl w:ilvl="3" w:tplc="BFC43BCE">
      <w:start w:val="1"/>
      <w:numFmt w:val="decimal"/>
      <w:lvlText w:val="%4."/>
      <w:lvlJc w:val="left"/>
      <w:pPr>
        <w:ind w:left="2880" w:hanging="360"/>
      </w:pPr>
    </w:lvl>
    <w:lvl w:ilvl="4" w:tplc="CFFC73CE">
      <w:start w:val="1"/>
      <w:numFmt w:val="lowerLetter"/>
      <w:lvlText w:val="%5."/>
      <w:lvlJc w:val="left"/>
      <w:pPr>
        <w:ind w:left="3600" w:hanging="360"/>
      </w:pPr>
    </w:lvl>
    <w:lvl w:ilvl="5" w:tplc="22CC711C">
      <w:start w:val="1"/>
      <w:numFmt w:val="lowerRoman"/>
      <w:lvlText w:val="%6."/>
      <w:lvlJc w:val="right"/>
      <w:pPr>
        <w:ind w:left="4320" w:hanging="180"/>
      </w:pPr>
    </w:lvl>
    <w:lvl w:ilvl="6" w:tplc="A044CF38">
      <w:start w:val="1"/>
      <w:numFmt w:val="decimal"/>
      <w:lvlText w:val="%7."/>
      <w:lvlJc w:val="left"/>
      <w:pPr>
        <w:ind w:left="5040" w:hanging="360"/>
      </w:pPr>
    </w:lvl>
    <w:lvl w:ilvl="7" w:tplc="206C21C6">
      <w:start w:val="1"/>
      <w:numFmt w:val="lowerLetter"/>
      <w:lvlText w:val="%8."/>
      <w:lvlJc w:val="left"/>
      <w:pPr>
        <w:ind w:left="5760" w:hanging="360"/>
      </w:pPr>
    </w:lvl>
    <w:lvl w:ilvl="8" w:tplc="EC981DCC">
      <w:start w:val="1"/>
      <w:numFmt w:val="lowerRoman"/>
      <w:lvlText w:val="%9."/>
      <w:lvlJc w:val="right"/>
      <w:pPr>
        <w:ind w:left="6480" w:hanging="180"/>
      </w:pPr>
    </w:lvl>
  </w:abstractNum>
  <w:abstractNum w:abstractNumId="6" w15:restartNumberingAfterBreak="0">
    <w:nsid w:val="209BC1C8"/>
    <w:multiLevelType w:val="hybridMultilevel"/>
    <w:tmpl w:val="826020A2"/>
    <w:lvl w:ilvl="0" w:tplc="47889356">
      <w:numFmt w:val="none"/>
      <w:lvlText w:val=""/>
      <w:lvlJc w:val="left"/>
      <w:pPr>
        <w:tabs>
          <w:tab w:val="num" w:pos="360"/>
        </w:tabs>
      </w:pPr>
    </w:lvl>
    <w:lvl w:ilvl="1" w:tplc="E72282B2">
      <w:start w:val="1"/>
      <w:numFmt w:val="lowerLetter"/>
      <w:lvlText w:val="%2."/>
      <w:lvlJc w:val="left"/>
      <w:pPr>
        <w:ind w:left="1440" w:hanging="360"/>
      </w:pPr>
    </w:lvl>
    <w:lvl w:ilvl="2" w:tplc="80189F28">
      <w:start w:val="1"/>
      <w:numFmt w:val="lowerRoman"/>
      <w:lvlText w:val="%3."/>
      <w:lvlJc w:val="right"/>
      <w:pPr>
        <w:ind w:left="2160" w:hanging="180"/>
      </w:pPr>
    </w:lvl>
    <w:lvl w:ilvl="3" w:tplc="6ACA5C6A">
      <w:start w:val="1"/>
      <w:numFmt w:val="decimal"/>
      <w:lvlText w:val="%4."/>
      <w:lvlJc w:val="left"/>
      <w:pPr>
        <w:ind w:left="2880" w:hanging="360"/>
      </w:pPr>
    </w:lvl>
    <w:lvl w:ilvl="4" w:tplc="D5A4A51A">
      <w:start w:val="1"/>
      <w:numFmt w:val="lowerLetter"/>
      <w:lvlText w:val="%5."/>
      <w:lvlJc w:val="left"/>
      <w:pPr>
        <w:ind w:left="3600" w:hanging="360"/>
      </w:pPr>
    </w:lvl>
    <w:lvl w:ilvl="5" w:tplc="72FE03C8">
      <w:start w:val="1"/>
      <w:numFmt w:val="lowerRoman"/>
      <w:lvlText w:val="%6."/>
      <w:lvlJc w:val="right"/>
      <w:pPr>
        <w:ind w:left="4320" w:hanging="180"/>
      </w:pPr>
    </w:lvl>
    <w:lvl w:ilvl="6" w:tplc="800E2B46">
      <w:start w:val="1"/>
      <w:numFmt w:val="decimal"/>
      <w:lvlText w:val="%7."/>
      <w:lvlJc w:val="left"/>
      <w:pPr>
        <w:ind w:left="5040" w:hanging="360"/>
      </w:pPr>
    </w:lvl>
    <w:lvl w:ilvl="7" w:tplc="98AA4366">
      <w:start w:val="1"/>
      <w:numFmt w:val="lowerLetter"/>
      <w:lvlText w:val="%8."/>
      <w:lvlJc w:val="left"/>
      <w:pPr>
        <w:ind w:left="5760" w:hanging="360"/>
      </w:pPr>
    </w:lvl>
    <w:lvl w:ilvl="8" w:tplc="F64443A4">
      <w:start w:val="1"/>
      <w:numFmt w:val="lowerRoman"/>
      <w:lvlText w:val="%9."/>
      <w:lvlJc w:val="right"/>
      <w:pPr>
        <w:ind w:left="6480" w:hanging="180"/>
      </w:pPr>
    </w:lvl>
  </w:abstractNum>
  <w:abstractNum w:abstractNumId="7" w15:restartNumberingAfterBreak="0">
    <w:nsid w:val="27FC424C"/>
    <w:multiLevelType w:val="hybridMultilevel"/>
    <w:tmpl w:val="DCC4D984"/>
    <w:lvl w:ilvl="0" w:tplc="1A047F36">
      <w:numFmt w:val="none"/>
      <w:lvlText w:val=""/>
      <w:lvlJc w:val="left"/>
      <w:pPr>
        <w:tabs>
          <w:tab w:val="num" w:pos="360"/>
        </w:tabs>
      </w:pPr>
    </w:lvl>
    <w:lvl w:ilvl="1" w:tplc="97E49630">
      <w:start w:val="1"/>
      <w:numFmt w:val="lowerLetter"/>
      <w:lvlText w:val="%2."/>
      <w:lvlJc w:val="left"/>
      <w:pPr>
        <w:ind w:left="1440" w:hanging="360"/>
      </w:pPr>
    </w:lvl>
    <w:lvl w:ilvl="2" w:tplc="376234EC">
      <w:start w:val="1"/>
      <w:numFmt w:val="lowerRoman"/>
      <w:lvlText w:val="%3."/>
      <w:lvlJc w:val="right"/>
      <w:pPr>
        <w:ind w:left="2160" w:hanging="180"/>
      </w:pPr>
    </w:lvl>
    <w:lvl w:ilvl="3" w:tplc="A3487CC2">
      <w:start w:val="1"/>
      <w:numFmt w:val="decimal"/>
      <w:lvlText w:val="%4."/>
      <w:lvlJc w:val="left"/>
      <w:pPr>
        <w:ind w:left="2880" w:hanging="360"/>
      </w:pPr>
    </w:lvl>
    <w:lvl w:ilvl="4" w:tplc="9ABA4762">
      <w:start w:val="1"/>
      <w:numFmt w:val="lowerLetter"/>
      <w:lvlText w:val="%5."/>
      <w:lvlJc w:val="left"/>
      <w:pPr>
        <w:ind w:left="3600" w:hanging="360"/>
      </w:pPr>
    </w:lvl>
    <w:lvl w:ilvl="5" w:tplc="CAFCD100">
      <w:start w:val="1"/>
      <w:numFmt w:val="lowerRoman"/>
      <w:lvlText w:val="%6."/>
      <w:lvlJc w:val="right"/>
      <w:pPr>
        <w:ind w:left="4320" w:hanging="180"/>
      </w:pPr>
    </w:lvl>
    <w:lvl w:ilvl="6" w:tplc="8AA42D80">
      <w:start w:val="1"/>
      <w:numFmt w:val="decimal"/>
      <w:lvlText w:val="%7."/>
      <w:lvlJc w:val="left"/>
      <w:pPr>
        <w:ind w:left="5040" w:hanging="360"/>
      </w:pPr>
    </w:lvl>
    <w:lvl w:ilvl="7" w:tplc="01FA0ED8">
      <w:start w:val="1"/>
      <w:numFmt w:val="lowerLetter"/>
      <w:lvlText w:val="%8."/>
      <w:lvlJc w:val="left"/>
      <w:pPr>
        <w:ind w:left="5760" w:hanging="360"/>
      </w:pPr>
    </w:lvl>
    <w:lvl w:ilvl="8" w:tplc="E1808180">
      <w:start w:val="1"/>
      <w:numFmt w:val="lowerRoman"/>
      <w:lvlText w:val="%9."/>
      <w:lvlJc w:val="right"/>
      <w:pPr>
        <w:ind w:left="6480" w:hanging="180"/>
      </w:pPr>
    </w:lvl>
  </w:abstractNum>
  <w:abstractNum w:abstractNumId="8" w15:restartNumberingAfterBreak="0">
    <w:nsid w:val="28261F43"/>
    <w:multiLevelType w:val="hybridMultilevel"/>
    <w:tmpl w:val="4F002DEC"/>
    <w:lvl w:ilvl="0" w:tplc="280829A8">
      <w:numFmt w:val="none"/>
      <w:lvlText w:val=""/>
      <w:lvlJc w:val="left"/>
      <w:pPr>
        <w:tabs>
          <w:tab w:val="num" w:pos="360"/>
        </w:tabs>
      </w:pPr>
    </w:lvl>
    <w:lvl w:ilvl="1" w:tplc="891A507E">
      <w:start w:val="1"/>
      <w:numFmt w:val="lowerLetter"/>
      <w:lvlText w:val="%2."/>
      <w:lvlJc w:val="left"/>
      <w:pPr>
        <w:ind w:left="1440" w:hanging="360"/>
      </w:pPr>
    </w:lvl>
    <w:lvl w:ilvl="2" w:tplc="6882A90A">
      <w:start w:val="1"/>
      <w:numFmt w:val="lowerRoman"/>
      <w:lvlText w:val="%3."/>
      <w:lvlJc w:val="right"/>
      <w:pPr>
        <w:ind w:left="2160" w:hanging="180"/>
      </w:pPr>
    </w:lvl>
    <w:lvl w:ilvl="3" w:tplc="7B0854DA">
      <w:start w:val="1"/>
      <w:numFmt w:val="decimal"/>
      <w:lvlText w:val="%4."/>
      <w:lvlJc w:val="left"/>
      <w:pPr>
        <w:ind w:left="2880" w:hanging="360"/>
      </w:pPr>
    </w:lvl>
    <w:lvl w:ilvl="4" w:tplc="C540B6C8">
      <w:start w:val="1"/>
      <w:numFmt w:val="lowerLetter"/>
      <w:lvlText w:val="%5."/>
      <w:lvlJc w:val="left"/>
      <w:pPr>
        <w:ind w:left="3600" w:hanging="360"/>
      </w:pPr>
    </w:lvl>
    <w:lvl w:ilvl="5" w:tplc="B254D958">
      <w:start w:val="1"/>
      <w:numFmt w:val="lowerRoman"/>
      <w:lvlText w:val="%6."/>
      <w:lvlJc w:val="right"/>
      <w:pPr>
        <w:ind w:left="4320" w:hanging="180"/>
      </w:pPr>
    </w:lvl>
    <w:lvl w:ilvl="6" w:tplc="7C6A7090">
      <w:start w:val="1"/>
      <w:numFmt w:val="decimal"/>
      <w:lvlText w:val="%7."/>
      <w:lvlJc w:val="left"/>
      <w:pPr>
        <w:ind w:left="5040" w:hanging="360"/>
      </w:pPr>
    </w:lvl>
    <w:lvl w:ilvl="7" w:tplc="A4F036A4">
      <w:start w:val="1"/>
      <w:numFmt w:val="lowerLetter"/>
      <w:lvlText w:val="%8."/>
      <w:lvlJc w:val="left"/>
      <w:pPr>
        <w:ind w:left="5760" w:hanging="360"/>
      </w:pPr>
    </w:lvl>
    <w:lvl w:ilvl="8" w:tplc="B4CEE856">
      <w:start w:val="1"/>
      <w:numFmt w:val="lowerRoman"/>
      <w:lvlText w:val="%9."/>
      <w:lvlJc w:val="right"/>
      <w:pPr>
        <w:ind w:left="6480" w:hanging="180"/>
      </w:pPr>
    </w:lvl>
  </w:abstractNum>
  <w:abstractNum w:abstractNumId="9" w15:restartNumberingAfterBreak="0">
    <w:nsid w:val="296E2D56"/>
    <w:multiLevelType w:val="hybridMultilevel"/>
    <w:tmpl w:val="2A824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12C3BA"/>
    <w:multiLevelType w:val="hybridMultilevel"/>
    <w:tmpl w:val="4834466A"/>
    <w:lvl w:ilvl="0" w:tplc="D0584AE6">
      <w:numFmt w:val="none"/>
      <w:lvlText w:val=""/>
      <w:lvlJc w:val="left"/>
      <w:pPr>
        <w:tabs>
          <w:tab w:val="num" w:pos="360"/>
        </w:tabs>
      </w:pPr>
    </w:lvl>
    <w:lvl w:ilvl="1" w:tplc="C06CA494">
      <w:start w:val="1"/>
      <w:numFmt w:val="lowerLetter"/>
      <w:lvlText w:val="%2."/>
      <w:lvlJc w:val="left"/>
      <w:pPr>
        <w:ind w:left="1440" w:hanging="360"/>
      </w:pPr>
    </w:lvl>
    <w:lvl w:ilvl="2" w:tplc="2E8ADB3A">
      <w:start w:val="1"/>
      <w:numFmt w:val="lowerRoman"/>
      <w:lvlText w:val="%3."/>
      <w:lvlJc w:val="right"/>
      <w:pPr>
        <w:ind w:left="2160" w:hanging="180"/>
      </w:pPr>
    </w:lvl>
    <w:lvl w:ilvl="3" w:tplc="C3B2F832">
      <w:start w:val="1"/>
      <w:numFmt w:val="decimal"/>
      <w:lvlText w:val="%4."/>
      <w:lvlJc w:val="left"/>
      <w:pPr>
        <w:ind w:left="2880" w:hanging="360"/>
      </w:pPr>
    </w:lvl>
    <w:lvl w:ilvl="4" w:tplc="2EA616E8">
      <w:start w:val="1"/>
      <w:numFmt w:val="lowerLetter"/>
      <w:lvlText w:val="%5."/>
      <w:lvlJc w:val="left"/>
      <w:pPr>
        <w:ind w:left="3600" w:hanging="360"/>
      </w:pPr>
    </w:lvl>
    <w:lvl w:ilvl="5" w:tplc="0052C08C">
      <w:start w:val="1"/>
      <w:numFmt w:val="lowerRoman"/>
      <w:lvlText w:val="%6."/>
      <w:lvlJc w:val="right"/>
      <w:pPr>
        <w:ind w:left="4320" w:hanging="180"/>
      </w:pPr>
    </w:lvl>
    <w:lvl w:ilvl="6" w:tplc="713C71FE">
      <w:start w:val="1"/>
      <w:numFmt w:val="decimal"/>
      <w:lvlText w:val="%7."/>
      <w:lvlJc w:val="left"/>
      <w:pPr>
        <w:ind w:left="5040" w:hanging="360"/>
      </w:pPr>
    </w:lvl>
    <w:lvl w:ilvl="7" w:tplc="B8D42D56">
      <w:start w:val="1"/>
      <w:numFmt w:val="lowerLetter"/>
      <w:lvlText w:val="%8."/>
      <w:lvlJc w:val="left"/>
      <w:pPr>
        <w:ind w:left="5760" w:hanging="360"/>
      </w:pPr>
    </w:lvl>
    <w:lvl w:ilvl="8" w:tplc="9392BD28">
      <w:start w:val="1"/>
      <w:numFmt w:val="lowerRoman"/>
      <w:lvlText w:val="%9."/>
      <w:lvlJc w:val="right"/>
      <w:pPr>
        <w:ind w:left="6480" w:hanging="180"/>
      </w:pPr>
    </w:lvl>
  </w:abstractNum>
  <w:abstractNum w:abstractNumId="11" w15:restartNumberingAfterBreak="0">
    <w:nsid w:val="33CF5D32"/>
    <w:multiLevelType w:val="multilevel"/>
    <w:tmpl w:val="DCEA8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8DD7FB9"/>
    <w:multiLevelType w:val="hybridMultilevel"/>
    <w:tmpl w:val="EAECFF20"/>
    <w:lvl w:ilvl="0" w:tplc="349465A6">
      <w:start w:val="2"/>
      <w:numFmt w:val="lowerRoman"/>
      <w:lvlText w:val="%1."/>
      <w:lvlJc w:val="right"/>
      <w:pPr>
        <w:ind w:left="720" w:hanging="360"/>
      </w:pPr>
    </w:lvl>
    <w:lvl w:ilvl="1" w:tplc="0FA0DC4E">
      <w:start w:val="1"/>
      <w:numFmt w:val="lowerLetter"/>
      <w:lvlText w:val="%2."/>
      <w:lvlJc w:val="left"/>
      <w:pPr>
        <w:ind w:left="1440" w:hanging="360"/>
      </w:pPr>
    </w:lvl>
    <w:lvl w:ilvl="2" w:tplc="2710F3F8">
      <w:start w:val="1"/>
      <w:numFmt w:val="lowerRoman"/>
      <w:lvlText w:val="%3."/>
      <w:lvlJc w:val="right"/>
      <w:pPr>
        <w:ind w:left="2160" w:hanging="180"/>
      </w:pPr>
    </w:lvl>
    <w:lvl w:ilvl="3" w:tplc="069A83AE">
      <w:start w:val="1"/>
      <w:numFmt w:val="decimal"/>
      <w:lvlText w:val="%4."/>
      <w:lvlJc w:val="left"/>
      <w:pPr>
        <w:ind w:left="2880" w:hanging="360"/>
      </w:pPr>
    </w:lvl>
    <w:lvl w:ilvl="4" w:tplc="10061522">
      <w:start w:val="1"/>
      <w:numFmt w:val="lowerLetter"/>
      <w:lvlText w:val="%5."/>
      <w:lvlJc w:val="left"/>
      <w:pPr>
        <w:ind w:left="3600" w:hanging="360"/>
      </w:pPr>
    </w:lvl>
    <w:lvl w:ilvl="5" w:tplc="2966870C">
      <w:start w:val="1"/>
      <w:numFmt w:val="lowerRoman"/>
      <w:lvlText w:val="%6."/>
      <w:lvlJc w:val="right"/>
      <w:pPr>
        <w:ind w:left="4320" w:hanging="180"/>
      </w:pPr>
    </w:lvl>
    <w:lvl w:ilvl="6" w:tplc="3D147ADE">
      <w:start w:val="1"/>
      <w:numFmt w:val="decimal"/>
      <w:lvlText w:val="%7."/>
      <w:lvlJc w:val="left"/>
      <w:pPr>
        <w:ind w:left="5040" w:hanging="360"/>
      </w:pPr>
    </w:lvl>
    <w:lvl w:ilvl="7" w:tplc="2EF60A7E">
      <w:start w:val="1"/>
      <w:numFmt w:val="lowerLetter"/>
      <w:lvlText w:val="%8."/>
      <w:lvlJc w:val="left"/>
      <w:pPr>
        <w:ind w:left="5760" w:hanging="360"/>
      </w:pPr>
    </w:lvl>
    <w:lvl w:ilvl="8" w:tplc="ECBA4F16">
      <w:start w:val="1"/>
      <w:numFmt w:val="lowerRoman"/>
      <w:lvlText w:val="%9."/>
      <w:lvlJc w:val="right"/>
      <w:pPr>
        <w:ind w:left="6480" w:hanging="180"/>
      </w:pPr>
    </w:lvl>
  </w:abstractNum>
  <w:abstractNum w:abstractNumId="13" w15:restartNumberingAfterBreak="0">
    <w:nsid w:val="396C3F26"/>
    <w:multiLevelType w:val="hybridMultilevel"/>
    <w:tmpl w:val="E47ACD62"/>
    <w:lvl w:ilvl="0" w:tplc="C94AD08C">
      <w:numFmt w:val="none"/>
      <w:lvlText w:val=""/>
      <w:lvlJc w:val="left"/>
      <w:pPr>
        <w:tabs>
          <w:tab w:val="num" w:pos="360"/>
        </w:tabs>
      </w:pPr>
    </w:lvl>
    <w:lvl w:ilvl="1" w:tplc="0E92495C">
      <w:start w:val="1"/>
      <w:numFmt w:val="lowerLetter"/>
      <w:lvlText w:val="%2."/>
      <w:lvlJc w:val="left"/>
      <w:pPr>
        <w:ind w:left="1440" w:hanging="360"/>
      </w:pPr>
    </w:lvl>
    <w:lvl w:ilvl="2" w:tplc="B97EC008">
      <w:start w:val="1"/>
      <w:numFmt w:val="lowerRoman"/>
      <w:lvlText w:val="%3."/>
      <w:lvlJc w:val="right"/>
      <w:pPr>
        <w:ind w:left="2160" w:hanging="180"/>
      </w:pPr>
    </w:lvl>
    <w:lvl w:ilvl="3" w:tplc="8ABE3A18">
      <w:start w:val="1"/>
      <w:numFmt w:val="decimal"/>
      <w:lvlText w:val="%4."/>
      <w:lvlJc w:val="left"/>
      <w:pPr>
        <w:ind w:left="2880" w:hanging="360"/>
      </w:pPr>
    </w:lvl>
    <w:lvl w:ilvl="4" w:tplc="F7D675AE">
      <w:start w:val="1"/>
      <w:numFmt w:val="lowerLetter"/>
      <w:lvlText w:val="%5."/>
      <w:lvlJc w:val="left"/>
      <w:pPr>
        <w:ind w:left="3600" w:hanging="360"/>
      </w:pPr>
    </w:lvl>
    <w:lvl w:ilvl="5" w:tplc="2A00AC52">
      <w:start w:val="1"/>
      <w:numFmt w:val="lowerRoman"/>
      <w:lvlText w:val="%6."/>
      <w:lvlJc w:val="right"/>
      <w:pPr>
        <w:ind w:left="4320" w:hanging="180"/>
      </w:pPr>
    </w:lvl>
    <w:lvl w:ilvl="6" w:tplc="4494420E">
      <w:start w:val="1"/>
      <w:numFmt w:val="decimal"/>
      <w:lvlText w:val="%7."/>
      <w:lvlJc w:val="left"/>
      <w:pPr>
        <w:ind w:left="5040" w:hanging="360"/>
      </w:pPr>
    </w:lvl>
    <w:lvl w:ilvl="7" w:tplc="A956C73C">
      <w:start w:val="1"/>
      <w:numFmt w:val="lowerLetter"/>
      <w:lvlText w:val="%8."/>
      <w:lvlJc w:val="left"/>
      <w:pPr>
        <w:ind w:left="5760" w:hanging="360"/>
      </w:pPr>
    </w:lvl>
    <w:lvl w:ilvl="8" w:tplc="D7046E72">
      <w:start w:val="1"/>
      <w:numFmt w:val="lowerRoman"/>
      <w:lvlText w:val="%9."/>
      <w:lvlJc w:val="right"/>
      <w:pPr>
        <w:ind w:left="6480" w:hanging="180"/>
      </w:pPr>
    </w:lvl>
  </w:abstractNum>
  <w:abstractNum w:abstractNumId="14" w15:restartNumberingAfterBreak="0">
    <w:nsid w:val="411E4816"/>
    <w:multiLevelType w:val="multilevel"/>
    <w:tmpl w:val="8AE6FA6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44995C41"/>
    <w:multiLevelType w:val="hybridMultilevel"/>
    <w:tmpl w:val="9F7E0EA8"/>
    <w:lvl w:ilvl="0" w:tplc="937095AA">
      <w:numFmt w:val="none"/>
      <w:lvlText w:val=""/>
      <w:lvlJc w:val="left"/>
      <w:pPr>
        <w:tabs>
          <w:tab w:val="num" w:pos="360"/>
        </w:tabs>
      </w:pPr>
    </w:lvl>
    <w:lvl w:ilvl="1" w:tplc="2F926A0A">
      <w:start w:val="1"/>
      <w:numFmt w:val="lowerLetter"/>
      <w:lvlText w:val="%2."/>
      <w:lvlJc w:val="left"/>
      <w:pPr>
        <w:ind w:left="1440" w:hanging="360"/>
      </w:pPr>
    </w:lvl>
    <w:lvl w:ilvl="2" w:tplc="75CEF9B8">
      <w:start w:val="1"/>
      <w:numFmt w:val="lowerRoman"/>
      <w:lvlText w:val="%3."/>
      <w:lvlJc w:val="right"/>
      <w:pPr>
        <w:ind w:left="2160" w:hanging="180"/>
      </w:pPr>
    </w:lvl>
    <w:lvl w:ilvl="3" w:tplc="D45448E2">
      <w:start w:val="1"/>
      <w:numFmt w:val="decimal"/>
      <w:lvlText w:val="%4."/>
      <w:lvlJc w:val="left"/>
      <w:pPr>
        <w:ind w:left="2880" w:hanging="360"/>
      </w:pPr>
    </w:lvl>
    <w:lvl w:ilvl="4" w:tplc="6A1E8C00">
      <w:start w:val="1"/>
      <w:numFmt w:val="lowerLetter"/>
      <w:lvlText w:val="%5."/>
      <w:lvlJc w:val="left"/>
      <w:pPr>
        <w:ind w:left="3600" w:hanging="360"/>
      </w:pPr>
    </w:lvl>
    <w:lvl w:ilvl="5" w:tplc="6A6AEAF0">
      <w:start w:val="1"/>
      <w:numFmt w:val="lowerRoman"/>
      <w:lvlText w:val="%6."/>
      <w:lvlJc w:val="right"/>
      <w:pPr>
        <w:ind w:left="4320" w:hanging="180"/>
      </w:pPr>
    </w:lvl>
    <w:lvl w:ilvl="6" w:tplc="7E481EA2">
      <w:start w:val="1"/>
      <w:numFmt w:val="decimal"/>
      <w:lvlText w:val="%7."/>
      <w:lvlJc w:val="left"/>
      <w:pPr>
        <w:ind w:left="5040" w:hanging="360"/>
      </w:pPr>
    </w:lvl>
    <w:lvl w:ilvl="7" w:tplc="998C3354">
      <w:start w:val="1"/>
      <w:numFmt w:val="lowerLetter"/>
      <w:lvlText w:val="%8."/>
      <w:lvlJc w:val="left"/>
      <w:pPr>
        <w:ind w:left="5760" w:hanging="360"/>
      </w:pPr>
    </w:lvl>
    <w:lvl w:ilvl="8" w:tplc="A20AD406">
      <w:start w:val="1"/>
      <w:numFmt w:val="lowerRoman"/>
      <w:lvlText w:val="%9."/>
      <w:lvlJc w:val="right"/>
      <w:pPr>
        <w:ind w:left="6480" w:hanging="180"/>
      </w:pPr>
    </w:lvl>
  </w:abstractNum>
  <w:abstractNum w:abstractNumId="16" w15:restartNumberingAfterBreak="0">
    <w:nsid w:val="463CD082"/>
    <w:multiLevelType w:val="hybridMultilevel"/>
    <w:tmpl w:val="6ABAE97C"/>
    <w:lvl w:ilvl="0" w:tplc="B9B4CAEA">
      <w:numFmt w:val="none"/>
      <w:lvlText w:val=""/>
      <w:lvlJc w:val="left"/>
      <w:pPr>
        <w:tabs>
          <w:tab w:val="num" w:pos="360"/>
        </w:tabs>
      </w:pPr>
    </w:lvl>
    <w:lvl w:ilvl="1" w:tplc="2AA42A64">
      <w:start w:val="1"/>
      <w:numFmt w:val="lowerLetter"/>
      <w:lvlText w:val="%2."/>
      <w:lvlJc w:val="left"/>
      <w:pPr>
        <w:ind w:left="1440" w:hanging="360"/>
      </w:pPr>
    </w:lvl>
    <w:lvl w:ilvl="2" w:tplc="C490585E">
      <w:start w:val="1"/>
      <w:numFmt w:val="lowerRoman"/>
      <w:lvlText w:val="%3."/>
      <w:lvlJc w:val="right"/>
      <w:pPr>
        <w:ind w:left="2160" w:hanging="180"/>
      </w:pPr>
    </w:lvl>
    <w:lvl w:ilvl="3" w:tplc="8B9EA756">
      <w:start w:val="1"/>
      <w:numFmt w:val="decimal"/>
      <w:lvlText w:val="%4."/>
      <w:lvlJc w:val="left"/>
      <w:pPr>
        <w:ind w:left="2880" w:hanging="360"/>
      </w:pPr>
    </w:lvl>
    <w:lvl w:ilvl="4" w:tplc="FBBCFAA6">
      <w:start w:val="1"/>
      <w:numFmt w:val="lowerLetter"/>
      <w:lvlText w:val="%5."/>
      <w:lvlJc w:val="left"/>
      <w:pPr>
        <w:ind w:left="3600" w:hanging="360"/>
      </w:pPr>
    </w:lvl>
    <w:lvl w:ilvl="5" w:tplc="4D288C96">
      <w:start w:val="1"/>
      <w:numFmt w:val="lowerRoman"/>
      <w:lvlText w:val="%6."/>
      <w:lvlJc w:val="right"/>
      <w:pPr>
        <w:ind w:left="4320" w:hanging="180"/>
      </w:pPr>
    </w:lvl>
    <w:lvl w:ilvl="6" w:tplc="DC7C2F7A">
      <w:start w:val="1"/>
      <w:numFmt w:val="decimal"/>
      <w:lvlText w:val="%7."/>
      <w:lvlJc w:val="left"/>
      <w:pPr>
        <w:ind w:left="5040" w:hanging="360"/>
      </w:pPr>
    </w:lvl>
    <w:lvl w:ilvl="7" w:tplc="DE5AC090">
      <w:start w:val="1"/>
      <w:numFmt w:val="lowerLetter"/>
      <w:lvlText w:val="%8."/>
      <w:lvlJc w:val="left"/>
      <w:pPr>
        <w:ind w:left="5760" w:hanging="360"/>
      </w:pPr>
    </w:lvl>
    <w:lvl w:ilvl="8" w:tplc="E2D6C7CA">
      <w:start w:val="1"/>
      <w:numFmt w:val="lowerRoman"/>
      <w:lvlText w:val="%9."/>
      <w:lvlJc w:val="right"/>
      <w:pPr>
        <w:ind w:left="6480" w:hanging="180"/>
      </w:pPr>
    </w:lvl>
  </w:abstractNum>
  <w:abstractNum w:abstractNumId="17" w15:restartNumberingAfterBreak="0">
    <w:nsid w:val="48A5A857"/>
    <w:multiLevelType w:val="hybridMultilevel"/>
    <w:tmpl w:val="16BA2784"/>
    <w:lvl w:ilvl="0" w:tplc="758E375E">
      <w:numFmt w:val="none"/>
      <w:lvlText w:val=""/>
      <w:lvlJc w:val="left"/>
      <w:pPr>
        <w:tabs>
          <w:tab w:val="num" w:pos="360"/>
        </w:tabs>
      </w:pPr>
    </w:lvl>
    <w:lvl w:ilvl="1" w:tplc="654C6E72">
      <w:start w:val="1"/>
      <w:numFmt w:val="lowerLetter"/>
      <w:lvlText w:val="%2."/>
      <w:lvlJc w:val="left"/>
      <w:pPr>
        <w:ind w:left="1440" w:hanging="360"/>
      </w:pPr>
    </w:lvl>
    <w:lvl w:ilvl="2" w:tplc="AB74FC72">
      <w:start w:val="1"/>
      <w:numFmt w:val="lowerRoman"/>
      <w:lvlText w:val="%3."/>
      <w:lvlJc w:val="right"/>
      <w:pPr>
        <w:ind w:left="2160" w:hanging="180"/>
      </w:pPr>
    </w:lvl>
    <w:lvl w:ilvl="3" w:tplc="28CCA036">
      <w:start w:val="1"/>
      <w:numFmt w:val="decimal"/>
      <w:lvlText w:val="%4."/>
      <w:lvlJc w:val="left"/>
      <w:pPr>
        <w:ind w:left="2880" w:hanging="360"/>
      </w:pPr>
    </w:lvl>
    <w:lvl w:ilvl="4" w:tplc="ABB8237C">
      <w:start w:val="1"/>
      <w:numFmt w:val="lowerLetter"/>
      <w:lvlText w:val="%5."/>
      <w:lvlJc w:val="left"/>
      <w:pPr>
        <w:ind w:left="3600" w:hanging="360"/>
      </w:pPr>
    </w:lvl>
    <w:lvl w:ilvl="5" w:tplc="8DA0B956">
      <w:start w:val="1"/>
      <w:numFmt w:val="lowerRoman"/>
      <w:lvlText w:val="%6."/>
      <w:lvlJc w:val="right"/>
      <w:pPr>
        <w:ind w:left="4320" w:hanging="180"/>
      </w:pPr>
    </w:lvl>
    <w:lvl w:ilvl="6" w:tplc="BD7827F4">
      <w:start w:val="1"/>
      <w:numFmt w:val="decimal"/>
      <w:lvlText w:val="%7."/>
      <w:lvlJc w:val="left"/>
      <w:pPr>
        <w:ind w:left="5040" w:hanging="360"/>
      </w:pPr>
    </w:lvl>
    <w:lvl w:ilvl="7" w:tplc="0082F75C">
      <w:start w:val="1"/>
      <w:numFmt w:val="lowerLetter"/>
      <w:lvlText w:val="%8."/>
      <w:lvlJc w:val="left"/>
      <w:pPr>
        <w:ind w:left="5760" w:hanging="360"/>
      </w:pPr>
    </w:lvl>
    <w:lvl w:ilvl="8" w:tplc="2FFE9E48">
      <w:start w:val="1"/>
      <w:numFmt w:val="lowerRoman"/>
      <w:lvlText w:val="%9."/>
      <w:lvlJc w:val="right"/>
      <w:pPr>
        <w:ind w:left="6480" w:hanging="180"/>
      </w:pPr>
    </w:lvl>
  </w:abstractNum>
  <w:abstractNum w:abstractNumId="18" w15:restartNumberingAfterBreak="0">
    <w:nsid w:val="4BB9D971"/>
    <w:multiLevelType w:val="multilevel"/>
    <w:tmpl w:val="B40A881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233EA8"/>
    <w:multiLevelType w:val="hybridMultilevel"/>
    <w:tmpl w:val="1B5E350E"/>
    <w:lvl w:ilvl="0" w:tplc="DE642660">
      <w:start w:val="1"/>
      <w:numFmt w:val="bullet"/>
      <w:lvlText w:val=""/>
      <w:lvlJc w:val="left"/>
      <w:pPr>
        <w:ind w:left="720" w:hanging="360"/>
      </w:pPr>
      <w:rPr>
        <w:rFonts w:ascii="Symbol" w:hAnsi="Symbol" w:hint="default"/>
      </w:rPr>
    </w:lvl>
    <w:lvl w:ilvl="1" w:tplc="ABBCB602">
      <w:start w:val="1"/>
      <w:numFmt w:val="bullet"/>
      <w:lvlText w:val="o"/>
      <w:lvlJc w:val="left"/>
      <w:pPr>
        <w:ind w:left="1440" w:hanging="360"/>
      </w:pPr>
      <w:rPr>
        <w:rFonts w:ascii="Courier New" w:hAnsi="Courier New" w:hint="default"/>
      </w:rPr>
    </w:lvl>
    <w:lvl w:ilvl="2" w:tplc="E9482BEE">
      <w:start w:val="1"/>
      <w:numFmt w:val="bullet"/>
      <w:lvlText w:val=""/>
      <w:lvlJc w:val="left"/>
      <w:pPr>
        <w:ind w:left="2160" w:hanging="360"/>
      </w:pPr>
      <w:rPr>
        <w:rFonts w:ascii="Wingdings" w:hAnsi="Wingdings" w:hint="default"/>
      </w:rPr>
    </w:lvl>
    <w:lvl w:ilvl="3" w:tplc="A24A9A00">
      <w:start w:val="1"/>
      <w:numFmt w:val="bullet"/>
      <w:lvlText w:val=""/>
      <w:lvlJc w:val="left"/>
      <w:pPr>
        <w:ind w:left="2880" w:hanging="360"/>
      </w:pPr>
      <w:rPr>
        <w:rFonts w:ascii="Symbol" w:hAnsi="Symbol" w:hint="default"/>
      </w:rPr>
    </w:lvl>
    <w:lvl w:ilvl="4" w:tplc="995A9B32">
      <w:start w:val="1"/>
      <w:numFmt w:val="bullet"/>
      <w:lvlText w:val="o"/>
      <w:lvlJc w:val="left"/>
      <w:pPr>
        <w:ind w:left="3600" w:hanging="360"/>
      </w:pPr>
      <w:rPr>
        <w:rFonts w:ascii="Courier New" w:hAnsi="Courier New" w:hint="default"/>
      </w:rPr>
    </w:lvl>
    <w:lvl w:ilvl="5" w:tplc="4CCEF0E0">
      <w:start w:val="1"/>
      <w:numFmt w:val="bullet"/>
      <w:lvlText w:val=""/>
      <w:lvlJc w:val="left"/>
      <w:pPr>
        <w:ind w:left="4320" w:hanging="360"/>
      </w:pPr>
      <w:rPr>
        <w:rFonts w:ascii="Wingdings" w:hAnsi="Wingdings" w:hint="default"/>
      </w:rPr>
    </w:lvl>
    <w:lvl w:ilvl="6" w:tplc="6162872C">
      <w:start w:val="1"/>
      <w:numFmt w:val="bullet"/>
      <w:lvlText w:val=""/>
      <w:lvlJc w:val="left"/>
      <w:pPr>
        <w:ind w:left="5040" w:hanging="360"/>
      </w:pPr>
      <w:rPr>
        <w:rFonts w:ascii="Symbol" w:hAnsi="Symbol" w:hint="default"/>
      </w:rPr>
    </w:lvl>
    <w:lvl w:ilvl="7" w:tplc="4CF6F8D4">
      <w:start w:val="1"/>
      <w:numFmt w:val="bullet"/>
      <w:lvlText w:val="o"/>
      <w:lvlJc w:val="left"/>
      <w:pPr>
        <w:ind w:left="5760" w:hanging="360"/>
      </w:pPr>
      <w:rPr>
        <w:rFonts w:ascii="Courier New" w:hAnsi="Courier New" w:hint="default"/>
      </w:rPr>
    </w:lvl>
    <w:lvl w:ilvl="8" w:tplc="A2F40306">
      <w:start w:val="1"/>
      <w:numFmt w:val="bullet"/>
      <w:lvlText w:val=""/>
      <w:lvlJc w:val="left"/>
      <w:pPr>
        <w:ind w:left="6480" w:hanging="360"/>
      </w:pPr>
      <w:rPr>
        <w:rFonts w:ascii="Wingdings" w:hAnsi="Wingdings" w:hint="default"/>
      </w:rPr>
    </w:lvl>
  </w:abstractNum>
  <w:abstractNum w:abstractNumId="20" w15:restartNumberingAfterBreak="0">
    <w:nsid w:val="5482D34E"/>
    <w:multiLevelType w:val="hybridMultilevel"/>
    <w:tmpl w:val="1F50BAD2"/>
    <w:lvl w:ilvl="0" w:tplc="889AF0AE">
      <w:start w:val="1"/>
      <w:numFmt w:val="lowerRoman"/>
      <w:lvlText w:val="%1."/>
      <w:lvlJc w:val="right"/>
      <w:pPr>
        <w:ind w:left="1440" w:hanging="360"/>
      </w:pPr>
    </w:lvl>
    <w:lvl w:ilvl="1" w:tplc="05A2898A">
      <w:start w:val="1"/>
      <w:numFmt w:val="lowerLetter"/>
      <w:lvlText w:val="%2."/>
      <w:lvlJc w:val="left"/>
      <w:pPr>
        <w:ind w:left="2160" w:hanging="360"/>
      </w:pPr>
    </w:lvl>
    <w:lvl w:ilvl="2" w:tplc="163C44A8">
      <w:start w:val="1"/>
      <w:numFmt w:val="lowerRoman"/>
      <w:lvlText w:val="%3."/>
      <w:lvlJc w:val="right"/>
      <w:pPr>
        <w:ind w:left="2880" w:hanging="180"/>
      </w:pPr>
    </w:lvl>
    <w:lvl w:ilvl="3" w:tplc="6924223E">
      <w:start w:val="1"/>
      <w:numFmt w:val="decimal"/>
      <w:lvlText w:val="%4."/>
      <w:lvlJc w:val="left"/>
      <w:pPr>
        <w:ind w:left="3600" w:hanging="360"/>
      </w:pPr>
    </w:lvl>
    <w:lvl w:ilvl="4" w:tplc="F814CA90">
      <w:start w:val="1"/>
      <w:numFmt w:val="lowerLetter"/>
      <w:lvlText w:val="%5."/>
      <w:lvlJc w:val="left"/>
      <w:pPr>
        <w:ind w:left="4320" w:hanging="360"/>
      </w:pPr>
    </w:lvl>
    <w:lvl w:ilvl="5" w:tplc="8FB0F6C0">
      <w:start w:val="1"/>
      <w:numFmt w:val="lowerRoman"/>
      <w:lvlText w:val="%6."/>
      <w:lvlJc w:val="right"/>
      <w:pPr>
        <w:ind w:left="5040" w:hanging="180"/>
      </w:pPr>
    </w:lvl>
    <w:lvl w:ilvl="6" w:tplc="ED50D3D2">
      <w:start w:val="1"/>
      <w:numFmt w:val="decimal"/>
      <w:lvlText w:val="%7."/>
      <w:lvlJc w:val="left"/>
      <w:pPr>
        <w:ind w:left="5760" w:hanging="360"/>
      </w:pPr>
    </w:lvl>
    <w:lvl w:ilvl="7" w:tplc="AD9A5872">
      <w:start w:val="1"/>
      <w:numFmt w:val="lowerLetter"/>
      <w:lvlText w:val="%8."/>
      <w:lvlJc w:val="left"/>
      <w:pPr>
        <w:ind w:left="6480" w:hanging="360"/>
      </w:pPr>
    </w:lvl>
    <w:lvl w:ilvl="8" w:tplc="8C46E984">
      <w:start w:val="1"/>
      <w:numFmt w:val="lowerRoman"/>
      <w:lvlText w:val="%9."/>
      <w:lvlJc w:val="right"/>
      <w:pPr>
        <w:ind w:left="7200" w:hanging="180"/>
      </w:pPr>
    </w:lvl>
  </w:abstractNum>
  <w:abstractNum w:abstractNumId="21" w15:restartNumberingAfterBreak="0">
    <w:nsid w:val="57A4E4EB"/>
    <w:multiLevelType w:val="hybridMultilevel"/>
    <w:tmpl w:val="51C8C59A"/>
    <w:lvl w:ilvl="0" w:tplc="48F8E4F4">
      <w:numFmt w:val="none"/>
      <w:lvlText w:val=""/>
      <w:lvlJc w:val="left"/>
      <w:pPr>
        <w:tabs>
          <w:tab w:val="num" w:pos="360"/>
        </w:tabs>
      </w:pPr>
    </w:lvl>
    <w:lvl w:ilvl="1" w:tplc="DF8EF950">
      <w:start w:val="1"/>
      <w:numFmt w:val="lowerLetter"/>
      <w:lvlText w:val="%2."/>
      <w:lvlJc w:val="left"/>
      <w:pPr>
        <w:ind w:left="1440" w:hanging="360"/>
      </w:pPr>
    </w:lvl>
    <w:lvl w:ilvl="2" w:tplc="04CE9552">
      <w:start w:val="1"/>
      <w:numFmt w:val="lowerRoman"/>
      <w:lvlText w:val="%3."/>
      <w:lvlJc w:val="right"/>
      <w:pPr>
        <w:ind w:left="2160" w:hanging="180"/>
      </w:pPr>
    </w:lvl>
    <w:lvl w:ilvl="3" w:tplc="EC3A006C">
      <w:start w:val="1"/>
      <w:numFmt w:val="decimal"/>
      <w:lvlText w:val="%4."/>
      <w:lvlJc w:val="left"/>
      <w:pPr>
        <w:ind w:left="2880" w:hanging="360"/>
      </w:pPr>
    </w:lvl>
    <w:lvl w:ilvl="4" w:tplc="88686B06">
      <w:start w:val="1"/>
      <w:numFmt w:val="lowerLetter"/>
      <w:lvlText w:val="%5."/>
      <w:lvlJc w:val="left"/>
      <w:pPr>
        <w:ind w:left="3600" w:hanging="360"/>
      </w:pPr>
    </w:lvl>
    <w:lvl w:ilvl="5" w:tplc="3EBE914C">
      <w:start w:val="1"/>
      <w:numFmt w:val="lowerRoman"/>
      <w:lvlText w:val="%6."/>
      <w:lvlJc w:val="right"/>
      <w:pPr>
        <w:ind w:left="4320" w:hanging="180"/>
      </w:pPr>
    </w:lvl>
    <w:lvl w:ilvl="6" w:tplc="859AD6E8">
      <w:start w:val="1"/>
      <w:numFmt w:val="decimal"/>
      <w:lvlText w:val="%7."/>
      <w:lvlJc w:val="left"/>
      <w:pPr>
        <w:ind w:left="5040" w:hanging="360"/>
      </w:pPr>
    </w:lvl>
    <w:lvl w:ilvl="7" w:tplc="05669770">
      <w:start w:val="1"/>
      <w:numFmt w:val="lowerLetter"/>
      <w:lvlText w:val="%8."/>
      <w:lvlJc w:val="left"/>
      <w:pPr>
        <w:ind w:left="5760" w:hanging="360"/>
      </w:pPr>
    </w:lvl>
    <w:lvl w:ilvl="8" w:tplc="1EAAAF56">
      <w:start w:val="1"/>
      <w:numFmt w:val="lowerRoman"/>
      <w:lvlText w:val="%9."/>
      <w:lvlJc w:val="right"/>
      <w:pPr>
        <w:ind w:left="6480" w:hanging="180"/>
      </w:pPr>
    </w:lvl>
  </w:abstractNum>
  <w:abstractNum w:abstractNumId="22" w15:restartNumberingAfterBreak="0">
    <w:nsid w:val="58217674"/>
    <w:multiLevelType w:val="hybridMultilevel"/>
    <w:tmpl w:val="3EDA98F8"/>
    <w:lvl w:ilvl="0" w:tplc="E3003754">
      <w:numFmt w:val="none"/>
      <w:lvlText w:val=""/>
      <w:lvlJc w:val="left"/>
      <w:pPr>
        <w:tabs>
          <w:tab w:val="num" w:pos="360"/>
        </w:tabs>
      </w:pPr>
    </w:lvl>
    <w:lvl w:ilvl="1" w:tplc="EBEA06E2">
      <w:start w:val="1"/>
      <w:numFmt w:val="lowerLetter"/>
      <w:lvlText w:val="%2."/>
      <w:lvlJc w:val="left"/>
      <w:pPr>
        <w:ind w:left="1440" w:hanging="360"/>
      </w:pPr>
    </w:lvl>
    <w:lvl w:ilvl="2" w:tplc="659EBDC0">
      <w:start w:val="1"/>
      <w:numFmt w:val="lowerRoman"/>
      <w:lvlText w:val="%3."/>
      <w:lvlJc w:val="right"/>
      <w:pPr>
        <w:ind w:left="2160" w:hanging="180"/>
      </w:pPr>
    </w:lvl>
    <w:lvl w:ilvl="3" w:tplc="049AD740">
      <w:start w:val="1"/>
      <w:numFmt w:val="decimal"/>
      <w:lvlText w:val="%4."/>
      <w:lvlJc w:val="left"/>
      <w:pPr>
        <w:ind w:left="2880" w:hanging="360"/>
      </w:pPr>
    </w:lvl>
    <w:lvl w:ilvl="4" w:tplc="5B369D66">
      <w:start w:val="1"/>
      <w:numFmt w:val="lowerLetter"/>
      <w:lvlText w:val="%5."/>
      <w:lvlJc w:val="left"/>
      <w:pPr>
        <w:ind w:left="3600" w:hanging="360"/>
      </w:pPr>
    </w:lvl>
    <w:lvl w:ilvl="5" w:tplc="BB229992">
      <w:start w:val="1"/>
      <w:numFmt w:val="lowerRoman"/>
      <w:lvlText w:val="%6."/>
      <w:lvlJc w:val="right"/>
      <w:pPr>
        <w:ind w:left="4320" w:hanging="180"/>
      </w:pPr>
    </w:lvl>
    <w:lvl w:ilvl="6" w:tplc="0F94E388">
      <w:start w:val="1"/>
      <w:numFmt w:val="decimal"/>
      <w:lvlText w:val="%7."/>
      <w:lvlJc w:val="left"/>
      <w:pPr>
        <w:ind w:left="5040" w:hanging="360"/>
      </w:pPr>
    </w:lvl>
    <w:lvl w:ilvl="7" w:tplc="8064FC44">
      <w:start w:val="1"/>
      <w:numFmt w:val="lowerLetter"/>
      <w:lvlText w:val="%8."/>
      <w:lvlJc w:val="left"/>
      <w:pPr>
        <w:ind w:left="5760" w:hanging="360"/>
      </w:pPr>
    </w:lvl>
    <w:lvl w:ilvl="8" w:tplc="65586FA2">
      <w:start w:val="1"/>
      <w:numFmt w:val="lowerRoman"/>
      <w:lvlText w:val="%9."/>
      <w:lvlJc w:val="right"/>
      <w:pPr>
        <w:ind w:left="6480" w:hanging="180"/>
      </w:pPr>
    </w:lvl>
  </w:abstractNum>
  <w:abstractNum w:abstractNumId="23" w15:restartNumberingAfterBreak="0">
    <w:nsid w:val="5A7B47C7"/>
    <w:multiLevelType w:val="hybridMultilevel"/>
    <w:tmpl w:val="96A477E6"/>
    <w:lvl w:ilvl="0" w:tplc="2AFA043C">
      <w:numFmt w:val="none"/>
      <w:lvlText w:val=""/>
      <w:lvlJc w:val="left"/>
      <w:pPr>
        <w:tabs>
          <w:tab w:val="num" w:pos="360"/>
        </w:tabs>
      </w:pPr>
    </w:lvl>
    <w:lvl w:ilvl="1" w:tplc="E40C491C">
      <w:start w:val="1"/>
      <w:numFmt w:val="lowerLetter"/>
      <w:lvlText w:val="%2."/>
      <w:lvlJc w:val="left"/>
      <w:pPr>
        <w:ind w:left="1440" w:hanging="360"/>
      </w:pPr>
    </w:lvl>
    <w:lvl w:ilvl="2" w:tplc="37C020BE">
      <w:start w:val="1"/>
      <w:numFmt w:val="lowerRoman"/>
      <w:lvlText w:val="%3."/>
      <w:lvlJc w:val="right"/>
      <w:pPr>
        <w:ind w:left="2160" w:hanging="180"/>
      </w:pPr>
    </w:lvl>
    <w:lvl w:ilvl="3" w:tplc="76065FFE">
      <w:start w:val="1"/>
      <w:numFmt w:val="decimal"/>
      <w:lvlText w:val="%4."/>
      <w:lvlJc w:val="left"/>
      <w:pPr>
        <w:ind w:left="2880" w:hanging="360"/>
      </w:pPr>
    </w:lvl>
    <w:lvl w:ilvl="4" w:tplc="1D50C51A">
      <w:start w:val="1"/>
      <w:numFmt w:val="lowerLetter"/>
      <w:lvlText w:val="%5."/>
      <w:lvlJc w:val="left"/>
      <w:pPr>
        <w:ind w:left="3600" w:hanging="360"/>
      </w:pPr>
    </w:lvl>
    <w:lvl w:ilvl="5" w:tplc="24D8BB36">
      <w:start w:val="1"/>
      <w:numFmt w:val="lowerRoman"/>
      <w:lvlText w:val="%6."/>
      <w:lvlJc w:val="right"/>
      <w:pPr>
        <w:ind w:left="4320" w:hanging="180"/>
      </w:pPr>
    </w:lvl>
    <w:lvl w:ilvl="6" w:tplc="A1CC7DEA">
      <w:start w:val="1"/>
      <w:numFmt w:val="decimal"/>
      <w:lvlText w:val="%7."/>
      <w:lvlJc w:val="left"/>
      <w:pPr>
        <w:ind w:left="5040" w:hanging="360"/>
      </w:pPr>
    </w:lvl>
    <w:lvl w:ilvl="7" w:tplc="0916FDBA">
      <w:start w:val="1"/>
      <w:numFmt w:val="lowerLetter"/>
      <w:lvlText w:val="%8."/>
      <w:lvlJc w:val="left"/>
      <w:pPr>
        <w:ind w:left="5760" w:hanging="360"/>
      </w:pPr>
    </w:lvl>
    <w:lvl w:ilvl="8" w:tplc="738422F6">
      <w:start w:val="1"/>
      <w:numFmt w:val="lowerRoman"/>
      <w:lvlText w:val="%9."/>
      <w:lvlJc w:val="right"/>
      <w:pPr>
        <w:ind w:left="6480" w:hanging="180"/>
      </w:pPr>
    </w:lvl>
  </w:abstractNum>
  <w:abstractNum w:abstractNumId="24" w15:restartNumberingAfterBreak="0">
    <w:nsid w:val="5E7458FC"/>
    <w:multiLevelType w:val="hybridMultilevel"/>
    <w:tmpl w:val="AACA8464"/>
    <w:lvl w:ilvl="0" w:tplc="7DE40DF8">
      <w:numFmt w:val="none"/>
      <w:lvlText w:val=""/>
      <w:lvlJc w:val="left"/>
      <w:pPr>
        <w:tabs>
          <w:tab w:val="num" w:pos="360"/>
        </w:tabs>
      </w:pPr>
    </w:lvl>
    <w:lvl w:ilvl="1" w:tplc="1E286234">
      <w:start w:val="1"/>
      <w:numFmt w:val="lowerLetter"/>
      <w:lvlText w:val="%2."/>
      <w:lvlJc w:val="left"/>
      <w:pPr>
        <w:ind w:left="1440" w:hanging="360"/>
      </w:pPr>
    </w:lvl>
    <w:lvl w:ilvl="2" w:tplc="FA8EC25E">
      <w:start w:val="1"/>
      <w:numFmt w:val="lowerRoman"/>
      <w:lvlText w:val="%3."/>
      <w:lvlJc w:val="right"/>
      <w:pPr>
        <w:ind w:left="2160" w:hanging="180"/>
      </w:pPr>
    </w:lvl>
    <w:lvl w:ilvl="3" w:tplc="45786862">
      <w:start w:val="1"/>
      <w:numFmt w:val="decimal"/>
      <w:lvlText w:val="%4."/>
      <w:lvlJc w:val="left"/>
      <w:pPr>
        <w:ind w:left="2880" w:hanging="360"/>
      </w:pPr>
    </w:lvl>
    <w:lvl w:ilvl="4" w:tplc="067C2284">
      <w:start w:val="1"/>
      <w:numFmt w:val="lowerLetter"/>
      <w:lvlText w:val="%5."/>
      <w:lvlJc w:val="left"/>
      <w:pPr>
        <w:ind w:left="3600" w:hanging="360"/>
      </w:pPr>
    </w:lvl>
    <w:lvl w:ilvl="5" w:tplc="8F66C65C">
      <w:start w:val="1"/>
      <w:numFmt w:val="lowerRoman"/>
      <w:lvlText w:val="%6."/>
      <w:lvlJc w:val="right"/>
      <w:pPr>
        <w:ind w:left="4320" w:hanging="180"/>
      </w:pPr>
    </w:lvl>
    <w:lvl w:ilvl="6" w:tplc="2F52C150">
      <w:start w:val="1"/>
      <w:numFmt w:val="decimal"/>
      <w:lvlText w:val="%7."/>
      <w:lvlJc w:val="left"/>
      <w:pPr>
        <w:ind w:left="5040" w:hanging="360"/>
      </w:pPr>
    </w:lvl>
    <w:lvl w:ilvl="7" w:tplc="A5646336">
      <w:start w:val="1"/>
      <w:numFmt w:val="lowerLetter"/>
      <w:lvlText w:val="%8."/>
      <w:lvlJc w:val="left"/>
      <w:pPr>
        <w:ind w:left="5760" w:hanging="360"/>
      </w:pPr>
    </w:lvl>
    <w:lvl w:ilvl="8" w:tplc="8B4E9EE8">
      <w:start w:val="1"/>
      <w:numFmt w:val="lowerRoman"/>
      <w:lvlText w:val="%9."/>
      <w:lvlJc w:val="right"/>
      <w:pPr>
        <w:ind w:left="6480" w:hanging="180"/>
      </w:pPr>
    </w:lvl>
  </w:abstractNum>
  <w:abstractNum w:abstractNumId="25" w15:restartNumberingAfterBreak="0">
    <w:nsid w:val="61970445"/>
    <w:multiLevelType w:val="hybridMultilevel"/>
    <w:tmpl w:val="37D44A98"/>
    <w:lvl w:ilvl="0" w:tplc="F69A0068">
      <w:numFmt w:val="none"/>
      <w:lvlText w:val=""/>
      <w:lvlJc w:val="left"/>
      <w:pPr>
        <w:tabs>
          <w:tab w:val="num" w:pos="360"/>
        </w:tabs>
      </w:pPr>
    </w:lvl>
    <w:lvl w:ilvl="1" w:tplc="CE7E6494">
      <w:start w:val="1"/>
      <w:numFmt w:val="lowerLetter"/>
      <w:lvlText w:val="%2."/>
      <w:lvlJc w:val="left"/>
      <w:pPr>
        <w:ind w:left="1440" w:hanging="360"/>
      </w:pPr>
    </w:lvl>
    <w:lvl w:ilvl="2" w:tplc="0186C3B8">
      <w:start w:val="1"/>
      <w:numFmt w:val="lowerRoman"/>
      <w:lvlText w:val="%3."/>
      <w:lvlJc w:val="right"/>
      <w:pPr>
        <w:ind w:left="2160" w:hanging="180"/>
      </w:pPr>
    </w:lvl>
    <w:lvl w:ilvl="3" w:tplc="16E49102">
      <w:start w:val="1"/>
      <w:numFmt w:val="decimal"/>
      <w:lvlText w:val="%4."/>
      <w:lvlJc w:val="left"/>
      <w:pPr>
        <w:ind w:left="2880" w:hanging="360"/>
      </w:pPr>
    </w:lvl>
    <w:lvl w:ilvl="4" w:tplc="8FE6060C">
      <w:start w:val="1"/>
      <w:numFmt w:val="lowerLetter"/>
      <w:lvlText w:val="%5."/>
      <w:lvlJc w:val="left"/>
      <w:pPr>
        <w:ind w:left="3600" w:hanging="360"/>
      </w:pPr>
    </w:lvl>
    <w:lvl w:ilvl="5" w:tplc="74EE6C8A">
      <w:start w:val="1"/>
      <w:numFmt w:val="lowerRoman"/>
      <w:lvlText w:val="%6."/>
      <w:lvlJc w:val="right"/>
      <w:pPr>
        <w:ind w:left="4320" w:hanging="180"/>
      </w:pPr>
    </w:lvl>
    <w:lvl w:ilvl="6" w:tplc="4894B406">
      <w:start w:val="1"/>
      <w:numFmt w:val="decimal"/>
      <w:lvlText w:val="%7."/>
      <w:lvlJc w:val="left"/>
      <w:pPr>
        <w:ind w:left="5040" w:hanging="360"/>
      </w:pPr>
    </w:lvl>
    <w:lvl w:ilvl="7" w:tplc="C6D44BB0">
      <w:start w:val="1"/>
      <w:numFmt w:val="lowerLetter"/>
      <w:lvlText w:val="%8."/>
      <w:lvlJc w:val="left"/>
      <w:pPr>
        <w:ind w:left="5760" w:hanging="360"/>
      </w:pPr>
    </w:lvl>
    <w:lvl w:ilvl="8" w:tplc="07800076">
      <w:start w:val="1"/>
      <w:numFmt w:val="lowerRoman"/>
      <w:lvlText w:val="%9."/>
      <w:lvlJc w:val="right"/>
      <w:pPr>
        <w:ind w:left="6480" w:hanging="180"/>
      </w:pPr>
    </w:lvl>
  </w:abstractNum>
  <w:abstractNum w:abstractNumId="26" w15:restartNumberingAfterBreak="0">
    <w:nsid w:val="637960CF"/>
    <w:multiLevelType w:val="hybridMultilevel"/>
    <w:tmpl w:val="137AA6B6"/>
    <w:lvl w:ilvl="0" w:tplc="22B62AF2">
      <w:start w:val="1"/>
      <w:numFmt w:val="lowerRoman"/>
      <w:lvlText w:val="(%1)"/>
      <w:lvlJc w:val="left"/>
      <w:pPr>
        <w:ind w:left="790" w:hanging="72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BB42210"/>
    <w:multiLevelType w:val="hybridMultilevel"/>
    <w:tmpl w:val="DEF02DF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9" w15:restartNumberingAfterBreak="0">
    <w:nsid w:val="6C1A4E30"/>
    <w:multiLevelType w:val="hybridMultilevel"/>
    <w:tmpl w:val="59E61DEE"/>
    <w:lvl w:ilvl="0" w:tplc="AE3479A8">
      <w:numFmt w:val="none"/>
      <w:lvlText w:val=""/>
      <w:lvlJc w:val="left"/>
      <w:pPr>
        <w:tabs>
          <w:tab w:val="num" w:pos="360"/>
        </w:tabs>
      </w:pPr>
    </w:lvl>
    <w:lvl w:ilvl="1" w:tplc="C304098C">
      <w:start w:val="1"/>
      <w:numFmt w:val="lowerLetter"/>
      <w:lvlText w:val="%2."/>
      <w:lvlJc w:val="left"/>
      <w:pPr>
        <w:ind w:left="1440" w:hanging="360"/>
      </w:pPr>
    </w:lvl>
    <w:lvl w:ilvl="2" w:tplc="A948BB4E">
      <w:start w:val="1"/>
      <w:numFmt w:val="lowerRoman"/>
      <w:lvlText w:val="%3."/>
      <w:lvlJc w:val="right"/>
      <w:pPr>
        <w:ind w:left="2160" w:hanging="180"/>
      </w:pPr>
    </w:lvl>
    <w:lvl w:ilvl="3" w:tplc="214EF9F8">
      <w:start w:val="1"/>
      <w:numFmt w:val="decimal"/>
      <w:lvlText w:val="%4."/>
      <w:lvlJc w:val="left"/>
      <w:pPr>
        <w:ind w:left="2880" w:hanging="360"/>
      </w:pPr>
    </w:lvl>
    <w:lvl w:ilvl="4" w:tplc="28DA7970">
      <w:start w:val="1"/>
      <w:numFmt w:val="lowerLetter"/>
      <w:lvlText w:val="%5."/>
      <w:lvlJc w:val="left"/>
      <w:pPr>
        <w:ind w:left="3600" w:hanging="360"/>
      </w:pPr>
    </w:lvl>
    <w:lvl w:ilvl="5" w:tplc="4D4E1496">
      <w:start w:val="1"/>
      <w:numFmt w:val="lowerRoman"/>
      <w:lvlText w:val="%6."/>
      <w:lvlJc w:val="right"/>
      <w:pPr>
        <w:ind w:left="4320" w:hanging="180"/>
      </w:pPr>
    </w:lvl>
    <w:lvl w:ilvl="6" w:tplc="21B2FE9C">
      <w:start w:val="1"/>
      <w:numFmt w:val="decimal"/>
      <w:lvlText w:val="%7."/>
      <w:lvlJc w:val="left"/>
      <w:pPr>
        <w:ind w:left="5040" w:hanging="360"/>
      </w:pPr>
    </w:lvl>
    <w:lvl w:ilvl="7" w:tplc="32EC065C">
      <w:start w:val="1"/>
      <w:numFmt w:val="lowerLetter"/>
      <w:lvlText w:val="%8."/>
      <w:lvlJc w:val="left"/>
      <w:pPr>
        <w:ind w:left="5760" w:hanging="360"/>
      </w:pPr>
    </w:lvl>
    <w:lvl w:ilvl="8" w:tplc="5838F166">
      <w:start w:val="1"/>
      <w:numFmt w:val="lowerRoman"/>
      <w:lvlText w:val="%9."/>
      <w:lvlJc w:val="right"/>
      <w:pPr>
        <w:ind w:left="6480" w:hanging="180"/>
      </w:pPr>
    </w:lvl>
  </w:abstractNum>
  <w:abstractNum w:abstractNumId="30" w15:restartNumberingAfterBreak="0">
    <w:nsid w:val="70EE6579"/>
    <w:multiLevelType w:val="multilevel"/>
    <w:tmpl w:val="C43CDA8A"/>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7E670E95"/>
    <w:multiLevelType w:val="hybridMultilevel"/>
    <w:tmpl w:val="434AC4EE"/>
    <w:lvl w:ilvl="0" w:tplc="6B484048">
      <w:numFmt w:val="none"/>
      <w:lvlText w:val=""/>
      <w:lvlJc w:val="left"/>
      <w:pPr>
        <w:tabs>
          <w:tab w:val="num" w:pos="360"/>
        </w:tabs>
      </w:pPr>
    </w:lvl>
    <w:lvl w:ilvl="1" w:tplc="971CAE88">
      <w:start w:val="1"/>
      <w:numFmt w:val="lowerLetter"/>
      <w:lvlText w:val="%2."/>
      <w:lvlJc w:val="left"/>
      <w:pPr>
        <w:ind w:left="1440" w:hanging="360"/>
      </w:pPr>
    </w:lvl>
    <w:lvl w:ilvl="2" w:tplc="3202E938">
      <w:start w:val="1"/>
      <w:numFmt w:val="lowerRoman"/>
      <w:lvlText w:val="%3."/>
      <w:lvlJc w:val="right"/>
      <w:pPr>
        <w:ind w:left="2160" w:hanging="180"/>
      </w:pPr>
    </w:lvl>
    <w:lvl w:ilvl="3" w:tplc="C9926402">
      <w:start w:val="1"/>
      <w:numFmt w:val="decimal"/>
      <w:lvlText w:val="%4."/>
      <w:lvlJc w:val="left"/>
      <w:pPr>
        <w:ind w:left="2880" w:hanging="360"/>
      </w:pPr>
    </w:lvl>
    <w:lvl w:ilvl="4" w:tplc="1BD06100">
      <w:start w:val="1"/>
      <w:numFmt w:val="lowerLetter"/>
      <w:lvlText w:val="%5."/>
      <w:lvlJc w:val="left"/>
      <w:pPr>
        <w:ind w:left="3600" w:hanging="360"/>
      </w:pPr>
    </w:lvl>
    <w:lvl w:ilvl="5" w:tplc="A208BBC2">
      <w:start w:val="1"/>
      <w:numFmt w:val="lowerRoman"/>
      <w:lvlText w:val="%6."/>
      <w:lvlJc w:val="right"/>
      <w:pPr>
        <w:ind w:left="4320" w:hanging="180"/>
      </w:pPr>
    </w:lvl>
    <w:lvl w:ilvl="6" w:tplc="94FC0C82">
      <w:start w:val="1"/>
      <w:numFmt w:val="decimal"/>
      <w:lvlText w:val="%7."/>
      <w:lvlJc w:val="left"/>
      <w:pPr>
        <w:ind w:left="5040" w:hanging="360"/>
      </w:pPr>
    </w:lvl>
    <w:lvl w:ilvl="7" w:tplc="57444EBC">
      <w:start w:val="1"/>
      <w:numFmt w:val="lowerLetter"/>
      <w:lvlText w:val="%8."/>
      <w:lvlJc w:val="left"/>
      <w:pPr>
        <w:ind w:left="5760" w:hanging="360"/>
      </w:pPr>
    </w:lvl>
    <w:lvl w:ilvl="8" w:tplc="0054D5BA">
      <w:start w:val="1"/>
      <w:numFmt w:val="lowerRoman"/>
      <w:lvlText w:val="%9."/>
      <w:lvlJc w:val="right"/>
      <w:pPr>
        <w:ind w:left="6480" w:hanging="180"/>
      </w:pPr>
    </w:lvl>
  </w:abstractNum>
  <w:num w:numId="1" w16cid:durableId="57094794">
    <w:abstractNumId w:val="7"/>
  </w:num>
  <w:num w:numId="2" w16cid:durableId="122429078">
    <w:abstractNumId w:val="5"/>
  </w:num>
  <w:num w:numId="3" w16cid:durableId="1916434874">
    <w:abstractNumId w:val="4"/>
  </w:num>
  <w:num w:numId="4" w16cid:durableId="1949773845">
    <w:abstractNumId w:val="10"/>
  </w:num>
  <w:num w:numId="5" w16cid:durableId="616716555">
    <w:abstractNumId w:val="3"/>
  </w:num>
  <w:num w:numId="6" w16cid:durableId="1371102793">
    <w:abstractNumId w:val="17"/>
  </w:num>
  <w:num w:numId="7" w16cid:durableId="1249272743">
    <w:abstractNumId w:val="23"/>
  </w:num>
  <w:num w:numId="8" w16cid:durableId="34476946">
    <w:abstractNumId w:val="29"/>
  </w:num>
  <w:num w:numId="9" w16cid:durableId="1914386418">
    <w:abstractNumId w:val="2"/>
  </w:num>
  <w:num w:numId="10" w16cid:durableId="1222250396">
    <w:abstractNumId w:val="24"/>
  </w:num>
  <w:num w:numId="11" w16cid:durableId="21328452">
    <w:abstractNumId w:val="16"/>
  </w:num>
  <w:num w:numId="12" w16cid:durableId="1331639508">
    <w:abstractNumId w:val="6"/>
  </w:num>
  <w:num w:numId="13" w16cid:durableId="1067848161">
    <w:abstractNumId w:val="13"/>
  </w:num>
  <w:num w:numId="14" w16cid:durableId="1659266066">
    <w:abstractNumId w:val="8"/>
  </w:num>
  <w:num w:numId="15" w16cid:durableId="893080710">
    <w:abstractNumId w:val="22"/>
  </w:num>
  <w:num w:numId="16" w16cid:durableId="1369260312">
    <w:abstractNumId w:val="15"/>
  </w:num>
  <w:num w:numId="17" w16cid:durableId="700127731">
    <w:abstractNumId w:val="21"/>
  </w:num>
  <w:num w:numId="18" w16cid:durableId="1675692569">
    <w:abstractNumId w:val="31"/>
  </w:num>
  <w:num w:numId="19" w16cid:durableId="467817973">
    <w:abstractNumId w:val="25"/>
  </w:num>
  <w:num w:numId="20" w16cid:durableId="54858096">
    <w:abstractNumId w:val="18"/>
  </w:num>
  <w:num w:numId="21" w16cid:durableId="1127040335">
    <w:abstractNumId w:val="19"/>
  </w:num>
  <w:num w:numId="22" w16cid:durableId="1845783092">
    <w:abstractNumId w:val="1"/>
  </w:num>
  <w:num w:numId="23" w16cid:durableId="530385360">
    <w:abstractNumId w:val="11"/>
  </w:num>
  <w:num w:numId="24" w16cid:durableId="329334239">
    <w:abstractNumId w:val="14"/>
  </w:num>
  <w:num w:numId="25" w16cid:durableId="1105231755">
    <w:abstractNumId w:val="30"/>
  </w:num>
  <w:num w:numId="26" w16cid:durableId="1344239085">
    <w:abstractNumId w:val="12"/>
  </w:num>
  <w:num w:numId="27" w16cid:durableId="1150750375">
    <w:abstractNumId w:val="20"/>
  </w:num>
  <w:num w:numId="28" w16cid:durableId="1923565307">
    <w:abstractNumId w:val="27"/>
  </w:num>
  <w:num w:numId="29" w16cid:durableId="1606494301">
    <w:abstractNumId w:val="0"/>
  </w:num>
  <w:num w:numId="30" w16cid:durableId="1626544683">
    <w:abstractNumId w:val="0"/>
  </w:num>
  <w:num w:numId="31" w16cid:durableId="1457941359">
    <w:abstractNumId w:val="0"/>
  </w:num>
  <w:num w:numId="32" w16cid:durableId="1645966568">
    <w:abstractNumId w:val="27"/>
  </w:num>
  <w:num w:numId="33" w16cid:durableId="794719673">
    <w:abstractNumId w:val="0"/>
  </w:num>
  <w:num w:numId="34" w16cid:durableId="59211616">
    <w:abstractNumId w:val="28"/>
  </w:num>
  <w:num w:numId="35" w16cid:durableId="2043633326">
    <w:abstractNumId w:val="26"/>
  </w:num>
  <w:num w:numId="36" w16cid:durableId="12153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yGHiNEGxyUFcwWjDi1zVgY8DY28eXZbyqKHzgO/tWtpAPUDaCoxCvqn0SjNc1gHDfn3lGA6Msm1ATzeqt3nzSQ==" w:salt="F0R6Y70whkezk58GiCCgl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A2"/>
    <w:rsid w:val="0000D5DA"/>
    <w:rsid w:val="000117E7"/>
    <w:rsid w:val="00026D39"/>
    <w:rsid w:val="00027C27"/>
    <w:rsid w:val="00031D5F"/>
    <w:rsid w:val="00035714"/>
    <w:rsid w:val="00036965"/>
    <w:rsid w:val="00053776"/>
    <w:rsid w:val="000613E6"/>
    <w:rsid w:val="0006639D"/>
    <w:rsid w:val="00080D56"/>
    <w:rsid w:val="00082568"/>
    <w:rsid w:val="000825BC"/>
    <w:rsid w:val="00086AA5"/>
    <w:rsid w:val="000B59FA"/>
    <w:rsid w:val="000B5B6E"/>
    <w:rsid w:val="000C0CF4"/>
    <w:rsid w:val="000C3696"/>
    <w:rsid w:val="000D051E"/>
    <w:rsid w:val="000D34D3"/>
    <w:rsid w:val="000E220A"/>
    <w:rsid w:val="000F252C"/>
    <w:rsid w:val="0010411C"/>
    <w:rsid w:val="00124967"/>
    <w:rsid w:val="00126C03"/>
    <w:rsid w:val="00127EE1"/>
    <w:rsid w:val="00146BDB"/>
    <w:rsid w:val="00161912"/>
    <w:rsid w:val="00163578"/>
    <w:rsid w:val="00164FE4"/>
    <w:rsid w:val="00165509"/>
    <w:rsid w:val="0016749E"/>
    <w:rsid w:val="0017029B"/>
    <w:rsid w:val="00172E49"/>
    <w:rsid w:val="00177EEF"/>
    <w:rsid w:val="00184F9F"/>
    <w:rsid w:val="0018577C"/>
    <w:rsid w:val="001955BC"/>
    <w:rsid w:val="001966A6"/>
    <w:rsid w:val="001A6F6F"/>
    <w:rsid w:val="001C0198"/>
    <w:rsid w:val="001C1BF7"/>
    <w:rsid w:val="001C783E"/>
    <w:rsid w:val="001D7687"/>
    <w:rsid w:val="00200469"/>
    <w:rsid w:val="00202DA2"/>
    <w:rsid w:val="00211FCE"/>
    <w:rsid w:val="00234A86"/>
    <w:rsid w:val="002401EE"/>
    <w:rsid w:val="00243625"/>
    <w:rsid w:val="00245B3E"/>
    <w:rsid w:val="00254691"/>
    <w:rsid w:val="00254B3A"/>
    <w:rsid w:val="00281579"/>
    <w:rsid w:val="00281DFA"/>
    <w:rsid w:val="002A31AF"/>
    <w:rsid w:val="002A6483"/>
    <w:rsid w:val="002A7C0C"/>
    <w:rsid w:val="002D46BE"/>
    <w:rsid w:val="002E068C"/>
    <w:rsid w:val="002E0C96"/>
    <w:rsid w:val="002E1201"/>
    <w:rsid w:val="002E16D3"/>
    <w:rsid w:val="002E7287"/>
    <w:rsid w:val="002E769D"/>
    <w:rsid w:val="002F128A"/>
    <w:rsid w:val="002F65D8"/>
    <w:rsid w:val="00306617"/>
    <w:rsid w:val="00306A33"/>
    <w:rsid w:val="00306C61"/>
    <w:rsid w:val="003434F8"/>
    <w:rsid w:val="00350E6B"/>
    <w:rsid w:val="00355580"/>
    <w:rsid w:val="003614D2"/>
    <w:rsid w:val="003701BA"/>
    <w:rsid w:val="00372017"/>
    <w:rsid w:val="00374486"/>
    <w:rsid w:val="0037582B"/>
    <w:rsid w:val="0038013D"/>
    <w:rsid w:val="00383203"/>
    <w:rsid w:val="00384395"/>
    <w:rsid w:val="003858E8"/>
    <w:rsid w:val="00385BAB"/>
    <w:rsid w:val="003962D0"/>
    <w:rsid w:val="003A3610"/>
    <w:rsid w:val="003A6A46"/>
    <w:rsid w:val="003B50B3"/>
    <w:rsid w:val="003C31AF"/>
    <w:rsid w:val="003D44C1"/>
    <w:rsid w:val="003D5BA1"/>
    <w:rsid w:val="003D79D8"/>
    <w:rsid w:val="003E082B"/>
    <w:rsid w:val="003E52CD"/>
    <w:rsid w:val="003E7D92"/>
    <w:rsid w:val="0040433C"/>
    <w:rsid w:val="0040599E"/>
    <w:rsid w:val="00416148"/>
    <w:rsid w:val="00424A58"/>
    <w:rsid w:val="0042560F"/>
    <w:rsid w:val="00432FC8"/>
    <w:rsid w:val="00455B95"/>
    <w:rsid w:val="0046056F"/>
    <w:rsid w:val="004772FA"/>
    <w:rsid w:val="004927F2"/>
    <w:rsid w:val="004A0B8B"/>
    <w:rsid w:val="004A1BDF"/>
    <w:rsid w:val="004B20BD"/>
    <w:rsid w:val="004C33A0"/>
    <w:rsid w:val="004C7CF9"/>
    <w:rsid w:val="004C7DD1"/>
    <w:rsid w:val="004D2E33"/>
    <w:rsid w:val="004E4B2F"/>
    <w:rsid w:val="004E4DA9"/>
    <w:rsid w:val="004F16BB"/>
    <w:rsid w:val="004F5E06"/>
    <w:rsid w:val="004F6D3A"/>
    <w:rsid w:val="00506FBB"/>
    <w:rsid w:val="00514AAB"/>
    <w:rsid w:val="0051624B"/>
    <w:rsid w:val="005225FC"/>
    <w:rsid w:val="005237C0"/>
    <w:rsid w:val="005303B5"/>
    <w:rsid w:val="005362EF"/>
    <w:rsid w:val="00563C54"/>
    <w:rsid w:val="005827D3"/>
    <w:rsid w:val="00587450"/>
    <w:rsid w:val="005937F7"/>
    <w:rsid w:val="00594BFA"/>
    <w:rsid w:val="005A5AAA"/>
    <w:rsid w:val="005A5B38"/>
    <w:rsid w:val="005B7FFC"/>
    <w:rsid w:val="005C363F"/>
    <w:rsid w:val="005C7E77"/>
    <w:rsid w:val="005E3008"/>
    <w:rsid w:val="005F643A"/>
    <w:rsid w:val="005F747A"/>
    <w:rsid w:val="00607A55"/>
    <w:rsid w:val="00610A11"/>
    <w:rsid w:val="00610A50"/>
    <w:rsid w:val="00617E3F"/>
    <w:rsid w:val="00622CF7"/>
    <w:rsid w:val="00627900"/>
    <w:rsid w:val="00636330"/>
    <w:rsid w:val="00647AB8"/>
    <w:rsid w:val="00653333"/>
    <w:rsid w:val="00664549"/>
    <w:rsid w:val="006657C6"/>
    <w:rsid w:val="00683104"/>
    <w:rsid w:val="00692FAF"/>
    <w:rsid w:val="006933C7"/>
    <w:rsid w:val="006A008D"/>
    <w:rsid w:val="006A2D2B"/>
    <w:rsid w:val="006A3EDA"/>
    <w:rsid w:val="006A6641"/>
    <w:rsid w:val="006C3512"/>
    <w:rsid w:val="006D156D"/>
    <w:rsid w:val="006E09E9"/>
    <w:rsid w:val="006E187D"/>
    <w:rsid w:val="006E7301"/>
    <w:rsid w:val="006F0994"/>
    <w:rsid w:val="006F1774"/>
    <w:rsid w:val="006F729F"/>
    <w:rsid w:val="00700FE2"/>
    <w:rsid w:val="007072A9"/>
    <w:rsid w:val="00712ADA"/>
    <w:rsid w:val="00726059"/>
    <w:rsid w:val="00731C4F"/>
    <w:rsid w:val="0073FC87"/>
    <w:rsid w:val="00745E55"/>
    <w:rsid w:val="00782CE6"/>
    <w:rsid w:val="0078656B"/>
    <w:rsid w:val="00787927"/>
    <w:rsid w:val="007976B2"/>
    <w:rsid w:val="007A231A"/>
    <w:rsid w:val="007B0AB4"/>
    <w:rsid w:val="007B1C55"/>
    <w:rsid w:val="007B57E6"/>
    <w:rsid w:val="007C7291"/>
    <w:rsid w:val="007D61EB"/>
    <w:rsid w:val="007D7128"/>
    <w:rsid w:val="007E213A"/>
    <w:rsid w:val="007E5E61"/>
    <w:rsid w:val="007F24A2"/>
    <w:rsid w:val="008008CE"/>
    <w:rsid w:val="00811972"/>
    <w:rsid w:val="00820128"/>
    <w:rsid w:val="00820FB6"/>
    <w:rsid w:val="00825C92"/>
    <w:rsid w:val="00851994"/>
    <w:rsid w:val="008568A4"/>
    <w:rsid w:val="00857548"/>
    <w:rsid w:val="0086084A"/>
    <w:rsid w:val="00876991"/>
    <w:rsid w:val="00883F0C"/>
    <w:rsid w:val="00885A35"/>
    <w:rsid w:val="0088620C"/>
    <w:rsid w:val="008901C2"/>
    <w:rsid w:val="00897879"/>
    <w:rsid w:val="008B2FA0"/>
    <w:rsid w:val="008B543D"/>
    <w:rsid w:val="008C69D2"/>
    <w:rsid w:val="008D5C14"/>
    <w:rsid w:val="008E6024"/>
    <w:rsid w:val="008F4353"/>
    <w:rsid w:val="008F606C"/>
    <w:rsid w:val="00916EDF"/>
    <w:rsid w:val="00920BFB"/>
    <w:rsid w:val="00921918"/>
    <w:rsid w:val="009420DD"/>
    <w:rsid w:val="00967764"/>
    <w:rsid w:val="00971A17"/>
    <w:rsid w:val="009730AE"/>
    <w:rsid w:val="009747B6"/>
    <w:rsid w:val="009951E8"/>
    <w:rsid w:val="009B7615"/>
    <w:rsid w:val="009C2482"/>
    <w:rsid w:val="009D6CA0"/>
    <w:rsid w:val="009E342A"/>
    <w:rsid w:val="009E62AB"/>
    <w:rsid w:val="009F0D3E"/>
    <w:rsid w:val="009F63DE"/>
    <w:rsid w:val="00A012F0"/>
    <w:rsid w:val="00A02820"/>
    <w:rsid w:val="00A07478"/>
    <w:rsid w:val="00A11DFD"/>
    <w:rsid w:val="00A16CA5"/>
    <w:rsid w:val="00A32C61"/>
    <w:rsid w:val="00A34488"/>
    <w:rsid w:val="00A44014"/>
    <w:rsid w:val="00A50B2E"/>
    <w:rsid w:val="00A53F10"/>
    <w:rsid w:val="00A579EE"/>
    <w:rsid w:val="00A64B8E"/>
    <w:rsid w:val="00A67EFC"/>
    <w:rsid w:val="00A705BB"/>
    <w:rsid w:val="00A71712"/>
    <w:rsid w:val="00A814AF"/>
    <w:rsid w:val="00A978CA"/>
    <w:rsid w:val="00AA046B"/>
    <w:rsid w:val="00AA09FA"/>
    <w:rsid w:val="00AA1623"/>
    <w:rsid w:val="00AA3F42"/>
    <w:rsid w:val="00AA65F0"/>
    <w:rsid w:val="00AA660F"/>
    <w:rsid w:val="00AC2244"/>
    <w:rsid w:val="00AF1685"/>
    <w:rsid w:val="00AF56C5"/>
    <w:rsid w:val="00B03CCF"/>
    <w:rsid w:val="00B03F75"/>
    <w:rsid w:val="00B04DEC"/>
    <w:rsid w:val="00B14650"/>
    <w:rsid w:val="00B20744"/>
    <w:rsid w:val="00B26708"/>
    <w:rsid w:val="00B35AFB"/>
    <w:rsid w:val="00B35BEF"/>
    <w:rsid w:val="00B41AF6"/>
    <w:rsid w:val="00B51BDC"/>
    <w:rsid w:val="00B53A50"/>
    <w:rsid w:val="00B54B94"/>
    <w:rsid w:val="00B55296"/>
    <w:rsid w:val="00B5616A"/>
    <w:rsid w:val="00B561C0"/>
    <w:rsid w:val="00B61BE8"/>
    <w:rsid w:val="00B67F68"/>
    <w:rsid w:val="00B71480"/>
    <w:rsid w:val="00B773CE"/>
    <w:rsid w:val="00B779D1"/>
    <w:rsid w:val="00B801EF"/>
    <w:rsid w:val="00B87B72"/>
    <w:rsid w:val="00B87C36"/>
    <w:rsid w:val="00B929F8"/>
    <w:rsid w:val="00BA0395"/>
    <w:rsid w:val="00BA69BD"/>
    <w:rsid w:val="00BB5735"/>
    <w:rsid w:val="00BB70A5"/>
    <w:rsid w:val="00BC5835"/>
    <w:rsid w:val="00BD53F7"/>
    <w:rsid w:val="00BD5A2E"/>
    <w:rsid w:val="00BE6A70"/>
    <w:rsid w:val="00BE7791"/>
    <w:rsid w:val="00BF619D"/>
    <w:rsid w:val="00BF78D8"/>
    <w:rsid w:val="00C02C82"/>
    <w:rsid w:val="00C15A66"/>
    <w:rsid w:val="00C161CC"/>
    <w:rsid w:val="00C21058"/>
    <w:rsid w:val="00C37975"/>
    <w:rsid w:val="00C4610A"/>
    <w:rsid w:val="00C577BB"/>
    <w:rsid w:val="00C633FA"/>
    <w:rsid w:val="00C8300E"/>
    <w:rsid w:val="00C91823"/>
    <w:rsid w:val="00C92E6E"/>
    <w:rsid w:val="00C97CE1"/>
    <w:rsid w:val="00CA54B2"/>
    <w:rsid w:val="00CA57D4"/>
    <w:rsid w:val="00CA68B3"/>
    <w:rsid w:val="00CB049D"/>
    <w:rsid w:val="00CC02E4"/>
    <w:rsid w:val="00CC32DF"/>
    <w:rsid w:val="00CD1166"/>
    <w:rsid w:val="00CD33C0"/>
    <w:rsid w:val="00CD5131"/>
    <w:rsid w:val="00CD74D3"/>
    <w:rsid w:val="00CE4A8A"/>
    <w:rsid w:val="00D008AB"/>
    <w:rsid w:val="00D032C8"/>
    <w:rsid w:val="00D05819"/>
    <w:rsid w:val="00D147B7"/>
    <w:rsid w:val="00D276B0"/>
    <w:rsid w:val="00D317C7"/>
    <w:rsid w:val="00D363AD"/>
    <w:rsid w:val="00D43419"/>
    <w:rsid w:val="00D52226"/>
    <w:rsid w:val="00D5584E"/>
    <w:rsid w:val="00D572F5"/>
    <w:rsid w:val="00D83B35"/>
    <w:rsid w:val="00D96621"/>
    <w:rsid w:val="00DA0354"/>
    <w:rsid w:val="00DA58E7"/>
    <w:rsid w:val="00DC0B8F"/>
    <w:rsid w:val="00DC6D73"/>
    <w:rsid w:val="00DC720A"/>
    <w:rsid w:val="00DD1FC3"/>
    <w:rsid w:val="00DE5F20"/>
    <w:rsid w:val="00DE77F0"/>
    <w:rsid w:val="00DF3B40"/>
    <w:rsid w:val="00DF5576"/>
    <w:rsid w:val="00E02825"/>
    <w:rsid w:val="00E11FD6"/>
    <w:rsid w:val="00E320D0"/>
    <w:rsid w:val="00E33059"/>
    <w:rsid w:val="00E33A33"/>
    <w:rsid w:val="00E3441F"/>
    <w:rsid w:val="00E36DCC"/>
    <w:rsid w:val="00E423F2"/>
    <w:rsid w:val="00E52862"/>
    <w:rsid w:val="00E55B13"/>
    <w:rsid w:val="00E61E15"/>
    <w:rsid w:val="00E648C1"/>
    <w:rsid w:val="00E725E3"/>
    <w:rsid w:val="00E73699"/>
    <w:rsid w:val="00E76AE1"/>
    <w:rsid w:val="00E854B1"/>
    <w:rsid w:val="00EA1DBC"/>
    <w:rsid w:val="00EC43A8"/>
    <w:rsid w:val="00EC611C"/>
    <w:rsid w:val="00ED6A36"/>
    <w:rsid w:val="00EF5C24"/>
    <w:rsid w:val="00F068AC"/>
    <w:rsid w:val="00F14846"/>
    <w:rsid w:val="00F2402D"/>
    <w:rsid w:val="00F35E0F"/>
    <w:rsid w:val="00F35E9F"/>
    <w:rsid w:val="00F40BDF"/>
    <w:rsid w:val="00F4207E"/>
    <w:rsid w:val="00F56CE5"/>
    <w:rsid w:val="00F61DCF"/>
    <w:rsid w:val="00F77B95"/>
    <w:rsid w:val="00F813B8"/>
    <w:rsid w:val="00F86877"/>
    <w:rsid w:val="00F87226"/>
    <w:rsid w:val="00F9105B"/>
    <w:rsid w:val="00F9389B"/>
    <w:rsid w:val="00F94D46"/>
    <w:rsid w:val="00FA2766"/>
    <w:rsid w:val="00FA307E"/>
    <w:rsid w:val="00FA4BC1"/>
    <w:rsid w:val="00FC2ADA"/>
    <w:rsid w:val="00FC2DD4"/>
    <w:rsid w:val="00FD58F7"/>
    <w:rsid w:val="00FE2756"/>
    <w:rsid w:val="00FE4E1D"/>
    <w:rsid w:val="00FE6859"/>
    <w:rsid w:val="00FF190C"/>
    <w:rsid w:val="00FF757B"/>
    <w:rsid w:val="00FF7DAB"/>
    <w:rsid w:val="01665DB9"/>
    <w:rsid w:val="01982D88"/>
    <w:rsid w:val="02192DAF"/>
    <w:rsid w:val="021CF5B4"/>
    <w:rsid w:val="026547B1"/>
    <w:rsid w:val="02DC07B6"/>
    <w:rsid w:val="031CC857"/>
    <w:rsid w:val="0322FD1C"/>
    <w:rsid w:val="03360BC4"/>
    <w:rsid w:val="0354D169"/>
    <w:rsid w:val="03C5188C"/>
    <w:rsid w:val="042F22F8"/>
    <w:rsid w:val="044D4E13"/>
    <w:rsid w:val="04B5665A"/>
    <w:rsid w:val="04CAFC6F"/>
    <w:rsid w:val="0550CE71"/>
    <w:rsid w:val="05CED611"/>
    <w:rsid w:val="0649646A"/>
    <w:rsid w:val="064B48D0"/>
    <w:rsid w:val="066EE905"/>
    <w:rsid w:val="067B1D50"/>
    <w:rsid w:val="0699F8E1"/>
    <w:rsid w:val="06B031DE"/>
    <w:rsid w:val="07200B73"/>
    <w:rsid w:val="07530164"/>
    <w:rsid w:val="079CD634"/>
    <w:rsid w:val="07CCC90E"/>
    <w:rsid w:val="08023CBA"/>
    <w:rsid w:val="0816EDB1"/>
    <w:rsid w:val="081CA0E5"/>
    <w:rsid w:val="08364414"/>
    <w:rsid w:val="0847ABF3"/>
    <w:rsid w:val="08757C98"/>
    <w:rsid w:val="09023F1C"/>
    <w:rsid w:val="090D16E5"/>
    <w:rsid w:val="09257FC6"/>
    <w:rsid w:val="0940EC6E"/>
    <w:rsid w:val="0955F23F"/>
    <w:rsid w:val="09795D24"/>
    <w:rsid w:val="09C9FD63"/>
    <w:rsid w:val="0A107F9F"/>
    <w:rsid w:val="0A43DC90"/>
    <w:rsid w:val="0AD44FB8"/>
    <w:rsid w:val="0B1CD58D"/>
    <w:rsid w:val="0B3192D3"/>
    <w:rsid w:val="0B38A0BA"/>
    <w:rsid w:val="0B4E8E73"/>
    <w:rsid w:val="0B506809"/>
    <w:rsid w:val="0B5441A7"/>
    <w:rsid w:val="0B81DA51"/>
    <w:rsid w:val="0BFA5F0E"/>
    <w:rsid w:val="0C44B7A7"/>
    <w:rsid w:val="0C97D589"/>
    <w:rsid w:val="0CAB657D"/>
    <w:rsid w:val="0CB8A5EE"/>
    <w:rsid w:val="0CCF08B3"/>
    <w:rsid w:val="0CD4711B"/>
    <w:rsid w:val="0CEC386A"/>
    <w:rsid w:val="0CF01208"/>
    <w:rsid w:val="0D09B537"/>
    <w:rsid w:val="0D5A7BAD"/>
    <w:rsid w:val="0D6D9CF3"/>
    <w:rsid w:val="0E061C13"/>
    <w:rsid w:val="0E2C6289"/>
    <w:rsid w:val="0E55D8FE"/>
    <w:rsid w:val="0E68D31E"/>
    <w:rsid w:val="0EDA5719"/>
    <w:rsid w:val="0FAF7BC0"/>
    <w:rsid w:val="100C11DD"/>
    <w:rsid w:val="1026184B"/>
    <w:rsid w:val="1045DC8E"/>
    <w:rsid w:val="1083C3AD"/>
    <w:rsid w:val="10C6EDB9"/>
    <w:rsid w:val="10FB7A6B"/>
    <w:rsid w:val="110188FA"/>
    <w:rsid w:val="111C25F7"/>
    <w:rsid w:val="111DEA7B"/>
    <w:rsid w:val="11201650"/>
    <w:rsid w:val="1122E5DD"/>
    <w:rsid w:val="1158912E"/>
    <w:rsid w:val="116932B1"/>
    <w:rsid w:val="11846F09"/>
    <w:rsid w:val="11B45A90"/>
    <w:rsid w:val="11ED4D83"/>
    <w:rsid w:val="12066BB1"/>
    <w:rsid w:val="120FB88E"/>
    <w:rsid w:val="12664CDB"/>
    <w:rsid w:val="12685853"/>
    <w:rsid w:val="128DC9BF"/>
    <w:rsid w:val="12C42039"/>
    <w:rsid w:val="1307170D"/>
    <w:rsid w:val="135084DD"/>
    <w:rsid w:val="13798A16"/>
    <w:rsid w:val="137ECA45"/>
    <w:rsid w:val="1383B9E4"/>
    <w:rsid w:val="13B1C9BD"/>
    <w:rsid w:val="13CEA5C3"/>
    <w:rsid w:val="13DD1AE4"/>
    <w:rsid w:val="13E88055"/>
    <w:rsid w:val="142806A3"/>
    <w:rsid w:val="143BD88C"/>
    <w:rsid w:val="14751C30"/>
    <w:rsid w:val="1483192F"/>
    <w:rsid w:val="14AA8E13"/>
    <w:rsid w:val="14E06111"/>
    <w:rsid w:val="14E2812E"/>
    <w:rsid w:val="14F570B9"/>
    <w:rsid w:val="15CB71F5"/>
    <w:rsid w:val="15CC5961"/>
    <w:rsid w:val="167B5361"/>
    <w:rsid w:val="1691411A"/>
    <w:rsid w:val="16B93673"/>
    <w:rsid w:val="1733FA5A"/>
    <w:rsid w:val="1754278F"/>
    <w:rsid w:val="178F57D4"/>
    <w:rsid w:val="17DAF06C"/>
    <w:rsid w:val="1803461B"/>
    <w:rsid w:val="181801D3"/>
    <w:rsid w:val="1850E974"/>
    <w:rsid w:val="18661188"/>
    <w:rsid w:val="188B6A8C"/>
    <w:rsid w:val="188C8345"/>
    <w:rsid w:val="188D6D56"/>
    <w:rsid w:val="18BB5087"/>
    <w:rsid w:val="18CC47C1"/>
    <w:rsid w:val="18FAD9DA"/>
    <w:rsid w:val="199F167C"/>
    <w:rsid w:val="19A58838"/>
    <w:rsid w:val="1A2D9BA2"/>
    <w:rsid w:val="1A69D4A3"/>
    <w:rsid w:val="1A7B5C44"/>
    <w:rsid w:val="1AC6CD2A"/>
    <w:rsid w:val="1AC6F896"/>
    <w:rsid w:val="1B1228F2"/>
    <w:rsid w:val="1C05A504"/>
    <w:rsid w:val="1C331888"/>
    <w:rsid w:val="1C435AE0"/>
    <w:rsid w:val="1C47A6E3"/>
    <w:rsid w:val="1C4EADA6"/>
    <w:rsid w:val="1C6B5C73"/>
    <w:rsid w:val="1CAC3EB4"/>
    <w:rsid w:val="1CD6B73E"/>
    <w:rsid w:val="1CFA1B0C"/>
    <w:rsid w:val="1D9A90BE"/>
    <w:rsid w:val="1E49FF10"/>
    <w:rsid w:val="1E72879F"/>
    <w:rsid w:val="1EFCAEDA"/>
    <w:rsid w:val="1F9A69B9"/>
    <w:rsid w:val="20D91627"/>
    <w:rsid w:val="210689AB"/>
    <w:rsid w:val="215E9BD2"/>
    <w:rsid w:val="2184CB5D"/>
    <w:rsid w:val="218B00F4"/>
    <w:rsid w:val="21A41D8D"/>
    <w:rsid w:val="21DE417E"/>
    <w:rsid w:val="21E913C2"/>
    <w:rsid w:val="22861D40"/>
    <w:rsid w:val="22A25A0C"/>
    <w:rsid w:val="22BE9B39"/>
    <w:rsid w:val="23209BBE"/>
    <w:rsid w:val="2322B72C"/>
    <w:rsid w:val="2329BFE8"/>
    <w:rsid w:val="233FEDEE"/>
    <w:rsid w:val="2379586D"/>
    <w:rsid w:val="239635DF"/>
    <w:rsid w:val="23C62DDB"/>
    <w:rsid w:val="23CA4856"/>
    <w:rsid w:val="23E3992B"/>
    <w:rsid w:val="23F8065F"/>
    <w:rsid w:val="24143FB3"/>
    <w:rsid w:val="2421A469"/>
    <w:rsid w:val="24359C9C"/>
    <w:rsid w:val="2442A09A"/>
    <w:rsid w:val="2469B51B"/>
    <w:rsid w:val="246E8F89"/>
    <w:rsid w:val="248E8BB5"/>
    <w:rsid w:val="249DE1FA"/>
    <w:rsid w:val="24E74785"/>
    <w:rsid w:val="24F3A533"/>
    <w:rsid w:val="24FC3342"/>
    <w:rsid w:val="2517E95D"/>
    <w:rsid w:val="254C06B7"/>
    <w:rsid w:val="2580B8B8"/>
    <w:rsid w:val="2589A699"/>
    <w:rsid w:val="25C0D271"/>
    <w:rsid w:val="25D86843"/>
    <w:rsid w:val="25F09D2E"/>
    <w:rsid w:val="25F6B1C0"/>
    <w:rsid w:val="268CABEE"/>
    <w:rsid w:val="2699CEC8"/>
    <w:rsid w:val="26E93314"/>
    <w:rsid w:val="2724AD3A"/>
    <w:rsid w:val="272F762F"/>
    <w:rsid w:val="276C11C1"/>
    <w:rsid w:val="277438A4"/>
    <w:rsid w:val="277EE02F"/>
    <w:rsid w:val="27A155DD"/>
    <w:rsid w:val="27A72967"/>
    <w:rsid w:val="27BB22E8"/>
    <w:rsid w:val="27D15402"/>
    <w:rsid w:val="2836EE55"/>
    <w:rsid w:val="2850D5FF"/>
    <w:rsid w:val="2893BE85"/>
    <w:rsid w:val="289DB979"/>
    <w:rsid w:val="28BF09BD"/>
    <w:rsid w:val="28D2ED35"/>
    <w:rsid w:val="28DB1259"/>
    <w:rsid w:val="28F87333"/>
    <w:rsid w:val="29119B90"/>
    <w:rsid w:val="291DCFDB"/>
    <w:rsid w:val="292BE5F2"/>
    <w:rsid w:val="293DB999"/>
    <w:rsid w:val="29500465"/>
    <w:rsid w:val="2968C77D"/>
    <w:rsid w:val="29894D90"/>
    <w:rsid w:val="29A96C42"/>
    <w:rsid w:val="29EFF8E9"/>
    <w:rsid w:val="2A5E9CC3"/>
    <w:rsid w:val="2A6EBD96"/>
    <w:rsid w:val="2A744E02"/>
    <w:rsid w:val="2AA936FE"/>
    <w:rsid w:val="2AF5F437"/>
    <w:rsid w:val="2B4C027D"/>
    <w:rsid w:val="2B667BE5"/>
    <w:rsid w:val="2B7413A1"/>
    <w:rsid w:val="2BB2164C"/>
    <w:rsid w:val="2BD55A3B"/>
    <w:rsid w:val="2C1C0FAF"/>
    <w:rsid w:val="2C23B654"/>
    <w:rsid w:val="2C3F82E4"/>
    <w:rsid w:val="2C480913"/>
    <w:rsid w:val="2C55709D"/>
    <w:rsid w:val="2CCC0AA3"/>
    <w:rsid w:val="2CE8AB06"/>
    <w:rsid w:val="2D25F9BF"/>
    <w:rsid w:val="2DB26922"/>
    <w:rsid w:val="2DBF86B5"/>
    <w:rsid w:val="2E674593"/>
    <w:rsid w:val="2E7BCFB0"/>
    <w:rsid w:val="2EFC6344"/>
    <w:rsid w:val="2F1AC02A"/>
    <w:rsid w:val="2F2B5FEB"/>
    <w:rsid w:val="2F3A8814"/>
    <w:rsid w:val="2F66222C"/>
    <w:rsid w:val="2F83F5E4"/>
    <w:rsid w:val="2FA28A94"/>
    <w:rsid w:val="30B6908B"/>
    <w:rsid w:val="30E6243E"/>
    <w:rsid w:val="3114F272"/>
    <w:rsid w:val="312BFF51"/>
    <w:rsid w:val="3155F933"/>
    <w:rsid w:val="31A66725"/>
    <w:rsid w:val="31A92187"/>
    <w:rsid w:val="31B4744D"/>
    <w:rsid w:val="31BA5782"/>
    <w:rsid w:val="31CC9622"/>
    <w:rsid w:val="31CFBFEC"/>
    <w:rsid w:val="31E2FCE4"/>
    <w:rsid w:val="31EBC835"/>
    <w:rsid w:val="321A420A"/>
    <w:rsid w:val="3226F87A"/>
    <w:rsid w:val="325260EC"/>
    <w:rsid w:val="3297E077"/>
    <w:rsid w:val="32C4FBA1"/>
    <w:rsid w:val="32CFF0A8"/>
    <w:rsid w:val="32D252DB"/>
    <w:rsid w:val="32F1C994"/>
    <w:rsid w:val="330049BF"/>
    <w:rsid w:val="33386E7C"/>
    <w:rsid w:val="33EE588B"/>
    <w:rsid w:val="34162EBE"/>
    <w:rsid w:val="345F5724"/>
    <w:rsid w:val="34B08E3D"/>
    <w:rsid w:val="34DA7D6F"/>
    <w:rsid w:val="34F0F83D"/>
    <w:rsid w:val="358A01AE"/>
    <w:rsid w:val="35DBF9FE"/>
    <w:rsid w:val="35DEE3C1"/>
    <w:rsid w:val="35EF93B5"/>
    <w:rsid w:val="3605E72E"/>
    <w:rsid w:val="36078B9A"/>
    <w:rsid w:val="36164F82"/>
    <w:rsid w:val="365394F1"/>
    <w:rsid w:val="36579B16"/>
    <w:rsid w:val="36A92E8C"/>
    <w:rsid w:val="36C335F9"/>
    <w:rsid w:val="36DE2656"/>
    <w:rsid w:val="36E6413C"/>
    <w:rsid w:val="370BB506"/>
    <w:rsid w:val="37158CC1"/>
    <w:rsid w:val="3725D20F"/>
    <w:rsid w:val="37526020"/>
    <w:rsid w:val="3766C3DA"/>
    <w:rsid w:val="3768B9E4"/>
    <w:rsid w:val="378749ED"/>
    <w:rsid w:val="379CE002"/>
    <w:rsid w:val="37A1B78F"/>
    <w:rsid w:val="37A1EA60"/>
    <w:rsid w:val="37BF672D"/>
    <w:rsid w:val="3838AC25"/>
    <w:rsid w:val="38801AB0"/>
    <w:rsid w:val="38D03C59"/>
    <w:rsid w:val="38DF1558"/>
    <w:rsid w:val="38E16A5A"/>
    <w:rsid w:val="391028C6"/>
    <w:rsid w:val="39208B0A"/>
    <w:rsid w:val="3933A3FA"/>
    <w:rsid w:val="3951B600"/>
    <w:rsid w:val="3979D528"/>
    <w:rsid w:val="3A53159F"/>
    <w:rsid w:val="3AD95851"/>
    <w:rsid w:val="3ADA4316"/>
    <w:rsid w:val="3B0AFD6A"/>
    <w:rsid w:val="3B270614"/>
    <w:rsid w:val="3B3EB370"/>
    <w:rsid w:val="3B752710"/>
    <w:rsid w:val="3B800242"/>
    <w:rsid w:val="3B91E888"/>
    <w:rsid w:val="3C3241CF"/>
    <w:rsid w:val="3C582BCC"/>
    <w:rsid w:val="3C793521"/>
    <w:rsid w:val="3CFA5FA1"/>
    <w:rsid w:val="3D145CE2"/>
    <w:rsid w:val="3D3FDA32"/>
    <w:rsid w:val="3D45AAFB"/>
    <w:rsid w:val="3D4B3D7F"/>
    <w:rsid w:val="3D69AB21"/>
    <w:rsid w:val="3D7C8D46"/>
    <w:rsid w:val="3D94A016"/>
    <w:rsid w:val="3DCA0014"/>
    <w:rsid w:val="3DF3FC2D"/>
    <w:rsid w:val="3E150582"/>
    <w:rsid w:val="3E61E8FC"/>
    <w:rsid w:val="3E66357C"/>
    <w:rsid w:val="3EB1A7A6"/>
    <w:rsid w:val="3ED5CB13"/>
    <w:rsid w:val="3F057B82"/>
    <w:rsid w:val="3F185DA7"/>
    <w:rsid w:val="3F256A99"/>
    <w:rsid w:val="40543A9A"/>
    <w:rsid w:val="405926B8"/>
    <w:rsid w:val="407A41F1"/>
    <w:rsid w:val="40CAFAA6"/>
    <w:rsid w:val="40D3A2F1"/>
    <w:rsid w:val="40FC106A"/>
    <w:rsid w:val="41744CCA"/>
    <w:rsid w:val="4179A13C"/>
    <w:rsid w:val="41E7E5D7"/>
    <w:rsid w:val="41F87EEC"/>
    <w:rsid w:val="4209D985"/>
    <w:rsid w:val="42A42ED2"/>
    <w:rsid w:val="43743933"/>
    <w:rsid w:val="4383B638"/>
    <w:rsid w:val="43FB367A"/>
    <w:rsid w:val="4469842A"/>
    <w:rsid w:val="44912692"/>
    <w:rsid w:val="44B628BB"/>
    <w:rsid w:val="44BBC8B5"/>
    <w:rsid w:val="44F02E01"/>
    <w:rsid w:val="450E8360"/>
    <w:rsid w:val="4554363A"/>
    <w:rsid w:val="457F62BC"/>
    <w:rsid w:val="4594D4EC"/>
    <w:rsid w:val="45A1329A"/>
    <w:rsid w:val="45DBCF94"/>
    <w:rsid w:val="46148FD6"/>
    <w:rsid w:val="461CFAD3"/>
    <w:rsid w:val="46446AE0"/>
    <w:rsid w:val="4662FFED"/>
    <w:rsid w:val="46929B6D"/>
    <w:rsid w:val="46A657B4"/>
    <w:rsid w:val="46F0069B"/>
    <w:rsid w:val="46FC7338"/>
    <w:rsid w:val="47236F8C"/>
    <w:rsid w:val="4763AB49"/>
    <w:rsid w:val="479DF0D9"/>
    <w:rsid w:val="47BB67F4"/>
    <w:rsid w:val="47EB27FD"/>
    <w:rsid w:val="47FD6812"/>
    <w:rsid w:val="487C43B0"/>
    <w:rsid w:val="48BF3FED"/>
    <w:rsid w:val="48E7A36E"/>
    <w:rsid w:val="490D8CC6"/>
    <w:rsid w:val="494477FF"/>
    <w:rsid w:val="49993873"/>
    <w:rsid w:val="499A42F6"/>
    <w:rsid w:val="49D335E9"/>
    <w:rsid w:val="49E89DB4"/>
    <w:rsid w:val="4A1B968A"/>
    <w:rsid w:val="4A5B104E"/>
    <w:rsid w:val="4AF88975"/>
    <w:rsid w:val="4B28324C"/>
    <w:rsid w:val="4B4B62EA"/>
    <w:rsid w:val="4B8EC81D"/>
    <w:rsid w:val="4B8F0EFE"/>
    <w:rsid w:val="4BA3819E"/>
    <w:rsid w:val="4BB979A2"/>
    <w:rsid w:val="4BCD336C"/>
    <w:rsid w:val="4BFD5145"/>
    <w:rsid w:val="4C3F51F3"/>
    <w:rsid w:val="4C53D547"/>
    <w:rsid w:val="4C66FC99"/>
    <w:rsid w:val="4CD0D935"/>
    <w:rsid w:val="4CED1094"/>
    <w:rsid w:val="4CF3BB0E"/>
    <w:rsid w:val="4D0DB84F"/>
    <w:rsid w:val="4D1D5227"/>
    <w:rsid w:val="4D6619E3"/>
    <w:rsid w:val="4D69F381"/>
    <w:rsid w:val="4DAEC6DA"/>
    <w:rsid w:val="4DC8EBC8"/>
    <w:rsid w:val="4E02CCFA"/>
    <w:rsid w:val="4E06804B"/>
    <w:rsid w:val="4E54E975"/>
    <w:rsid w:val="4E55E4CE"/>
    <w:rsid w:val="4E5A6981"/>
    <w:rsid w:val="4E7E0FB7"/>
    <w:rsid w:val="4ED1E498"/>
    <w:rsid w:val="4EF6729C"/>
    <w:rsid w:val="4F510B6F"/>
    <w:rsid w:val="4F5DD23B"/>
    <w:rsid w:val="4F6A6C8B"/>
    <w:rsid w:val="4F6AB0B7"/>
    <w:rsid w:val="4F7579C3"/>
    <w:rsid w:val="4F955BDC"/>
    <w:rsid w:val="4FA34631"/>
    <w:rsid w:val="4FA9F0AB"/>
    <w:rsid w:val="4FE01A94"/>
    <w:rsid w:val="4FF0B9D6"/>
    <w:rsid w:val="501BCAAD"/>
    <w:rsid w:val="50768467"/>
    <w:rsid w:val="50C0DDCB"/>
    <w:rsid w:val="50EB3597"/>
    <w:rsid w:val="5127A6D5"/>
    <w:rsid w:val="5177CE23"/>
    <w:rsid w:val="518AABD4"/>
    <w:rsid w:val="51BE14C5"/>
    <w:rsid w:val="52175077"/>
    <w:rsid w:val="52231416"/>
    <w:rsid w:val="52395835"/>
    <w:rsid w:val="5256AEEE"/>
    <w:rsid w:val="527A2389"/>
    <w:rsid w:val="52A65DF0"/>
    <w:rsid w:val="52CF74D6"/>
    <w:rsid w:val="531F1B90"/>
    <w:rsid w:val="534C3CB8"/>
    <w:rsid w:val="5376B5FE"/>
    <w:rsid w:val="5399DA02"/>
    <w:rsid w:val="53C9A000"/>
    <w:rsid w:val="53DDB16B"/>
    <w:rsid w:val="5408CF52"/>
    <w:rsid w:val="545F4797"/>
    <w:rsid w:val="5465574C"/>
    <w:rsid w:val="54702E7A"/>
    <w:rsid w:val="5488B269"/>
    <w:rsid w:val="5495D200"/>
    <w:rsid w:val="550CE48B"/>
    <w:rsid w:val="55A5B07B"/>
    <w:rsid w:val="55C7AB57"/>
    <w:rsid w:val="55FB17F8"/>
    <w:rsid w:val="56024DF5"/>
    <w:rsid w:val="56221866"/>
    <w:rsid w:val="5627A18C"/>
    <w:rsid w:val="564B4A35"/>
    <w:rsid w:val="569D211C"/>
    <w:rsid w:val="57115099"/>
    <w:rsid w:val="574180DC"/>
    <w:rsid w:val="5796E859"/>
    <w:rsid w:val="585469A9"/>
    <w:rsid w:val="58643572"/>
    <w:rsid w:val="5870FF42"/>
    <w:rsid w:val="588B9CD3"/>
    <w:rsid w:val="58AD20FA"/>
    <w:rsid w:val="58BA5EFE"/>
    <w:rsid w:val="58BB16A8"/>
    <w:rsid w:val="58CD8F4A"/>
    <w:rsid w:val="58E89679"/>
    <w:rsid w:val="58EB8C24"/>
    <w:rsid w:val="58FF4C19"/>
    <w:rsid w:val="593181A6"/>
    <w:rsid w:val="5951CC45"/>
    <w:rsid w:val="59791C02"/>
    <w:rsid w:val="597AF72D"/>
    <w:rsid w:val="59A509AE"/>
    <w:rsid w:val="59A747C2"/>
    <w:rsid w:val="59CBC86E"/>
    <w:rsid w:val="59CCCF25"/>
    <w:rsid w:val="59CD3E7D"/>
    <w:rsid w:val="59E84D7F"/>
    <w:rsid w:val="5A0755D4"/>
    <w:rsid w:val="5A18F7F5"/>
    <w:rsid w:val="5A4EC4E5"/>
    <w:rsid w:val="5A92D8E0"/>
    <w:rsid w:val="5AA4876C"/>
    <w:rsid w:val="5ADF6414"/>
    <w:rsid w:val="5AF2BE49"/>
    <w:rsid w:val="5B7B46B6"/>
    <w:rsid w:val="5B8B72FC"/>
    <w:rsid w:val="5B9BD634"/>
    <w:rsid w:val="5BC56B59"/>
    <w:rsid w:val="5C0A05CE"/>
    <w:rsid w:val="5C186B59"/>
    <w:rsid w:val="5C6A597C"/>
    <w:rsid w:val="5CA17A2B"/>
    <w:rsid w:val="5D37A695"/>
    <w:rsid w:val="5D4B3445"/>
    <w:rsid w:val="5D55076F"/>
    <w:rsid w:val="5D637A65"/>
    <w:rsid w:val="5D8665A7"/>
    <w:rsid w:val="5DA9C874"/>
    <w:rsid w:val="5DBEFD47"/>
    <w:rsid w:val="5DD825A4"/>
    <w:rsid w:val="5DEC2613"/>
    <w:rsid w:val="5E0629DD"/>
    <w:rsid w:val="5E0BD9D9"/>
    <w:rsid w:val="5E1DE610"/>
    <w:rsid w:val="5E998289"/>
    <w:rsid w:val="5EC03B6B"/>
    <w:rsid w:val="5ECAFABB"/>
    <w:rsid w:val="5EFAFFFE"/>
    <w:rsid w:val="5F5ACDA8"/>
    <w:rsid w:val="5F62FC07"/>
    <w:rsid w:val="5F928682"/>
    <w:rsid w:val="5FA1FA3E"/>
    <w:rsid w:val="5FB4DD6F"/>
    <w:rsid w:val="5FE49AC3"/>
    <w:rsid w:val="60A7D469"/>
    <w:rsid w:val="60D5B255"/>
    <w:rsid w:val="60F3331D"/>
    <w:rsid w:val="60F69E09"/>
    <w:rsid w:val="6116EA0C"/>
    <w:rsid w:val="619C9D0F"/>
    <w:rsid w:val="621012B9"/>
    <w:rsid w:val="622F78AE"/>
    <w:rsid w:val="639F51D7"/>
    <w:rsid w:val="63F066FC"/>
    <w:rsid w:val="63F5A72B"/>
    <w:rsid w:val="64259DE9"/>
    <w:rsid w:val="6425CDD1"/>
    <w:rsid w:val="642E3ECB"/>
    <w:rsid w:val="64964991"/>
    <w:rsid w:val="64966364"/>
    <w:rsid w:val="649D9A7B"/>
    <w:rsid w:val="64F9FC6A"/>
    <w:rsid w:val="650B679D"/>
    <w:rsid w:val="652148A9"/>
    <w:rsid w:val="6553212D"/>
    <w:rsid w:val="656D76DD"/>
    <w:rsid w:val="658FDD0D"/>
    <w:rsid w:val="659316B6"/>
    <w:rsid w:val="65CA0F2C"/>
    <w:rsid w:val="65DA8730"/>
    <w:rsid w:val="6673042B"/>
    <w:rsid w:val="6680B26E"/>
    <w:rsid w:val="6690569B"/>
    <w:rsid w:val="66F23047"/>
    <w:rsid w:val="672D47ED"/>
    <w:rsid w:val="673AB211"/>
    <w:rsid w:val="679C70DF"/>
    <w:rsid w:val="67A957A8"/>
    <w:rsid w:val="67B9BF06"/>
    <w:rsid w:val="67D0CB23"/>
    <w:rsid w:val="67F4E996"/>
    <w:rsid w:val="681269E7"/>
    <w:rsid w:val="68590BBB"/>
    <w:rsid w:val="68B8DA13"/>
    <w:rsid w:val="68BACE08"/>
    <w:rsid w:val="68E4B963"/>
    <w:rsid w:val="692692D2"/>
    <w:rsid w:val="69BB2D78"/>
    <w:rsid w:val="69D535A3"/>
    <w:rsid w:val="69F4DC1C"/>
    <w:rsid w:val="6A057EAC"/>
    <w:rsid w:val="6A20A91B"/>
    <w:rsid w:val="6A60363C"/>
    <w:rsid w:val="6A7DDA69"/>
    <w:rsid w:val="6AC89F84"/>
    <w:rsid w:val="6AE13633"/>
    <w:rsid w:val="6B2777C5"/>
    <w:rsid w:val="6B90AC7D"/>
    <w:rsid w:val="6C022569"/>
    <w:rsid w:val="6CBE37C8"/>
    <w:rsid w:val="6D3A3B08"/>
    <w:rsid w:val="6D41F5D6"/>
    <w:rsid w:val="6DA323E1"/>
    <w:rsid w:val="6DA476F7"/>
    <w:rsid w:val="6DBB45B6"/>
    <w:rsid w:val="6DEB0C15"/>
    <w:rsid w:val="6E65A3E6"/>
    <w:rsid w:val="6EAE9D6C"/>
    <w:rsid w:val="6F1CF701"/>
    <w:rsid w:val="6F1F7077"/>
    <w:rsid w:val="6FA9F1E6"/>
    <w:rsid w:val="702C1CC5"/>
    <w:rsid w:val="7059597E"/>
    <w:rsid w:val="70646481"/>
    <w:rsid w:val="70D5C95D"/>
    <w:rsid w:val="70DC17B9"/>
    <w:rsid w:val="71A2C339"/>
    <w:rsid w:val="71AB8E52"/>
    <w:rsid w:val="7244D79A"/>
    <w:rsid w:val="724B9F1C"/>
    <w:rsid w:val="72E0881C"/>
    <w:rsid w:val="7374F1E3"/>
    <w:rsid w:val="73ABC525"/>
    <w:rsid w:val="73CEF35D"/>
    <w:rsid w:val="7413B87B"/>
    <w:rsid w:val="746E5992"/>
    <w:rsid w:val="74A37059"/>
    <w:rsid w:val="75489D8C"/>
    <w:rsid w:val="7583D30A"/>
    <w:rsid w:val="758A5EEF"/>
    <w:rsid w:val="75E5C319"/>
    <w:rsid w:val="761FD956"/>
    <w:rsid w:val="762F4D12"/>
    <w:rsid w:val="7649565D"/>
    <w:rsid w:val="768BC164"/>
    <w:rsid w:val="770600C1"/>
    <w:rsid w:val="7783F0DD"/>
    <w:rsid w:val="78127382"/>
    <w:rsid w:val="7821614F"/>
    <w:rsid w:val="785BD382"/>
    <w:rsid w:val="78A5B0B0"/>
    <w:rsid w:val="79225B8C"/>
    <w:rsid w:val="79887876"/>
    <w:rsid w:val="7996558E"/>
    <w:rsid w:val="79F670D8"/>
    <w:rsid w:val="7A36CDB9"/>
    <w:rsid w:val="7AB9B03F"/>
    <w:rsid w:val="7AFCA2C3"/>
    <w:rsid w:val="7B17EB36"/>
    <w:rsid w:val="7B33727A"/>
    <w:rsid w:val="7B5BE6CC"/>
    <w:rsid w:val="7BCFD513"/>
    <w:rsid w:val="7BD54A35"/>
    <w:rsid w:val="7C0103A0"/>
    <w:rsid w:val="7C4C3721"/>
    <w:rsid w:val="7C576200"/>
    <w:rsid w:val="7C59FC4E"/>
    <w:rsid w:val="7CB65FCA"/>
    <w:rsid w:val="7D3325CE"/>
    <w:rsid w:val="7D3A8714"/>
    <w:rsid w:val="7D4C2423"/>
    <w:rsid w:val="7D8B2593"/>
    <w:rsid w:val="7DAB25CC"/>
    <w:rsid w:val="7E4F8BF8"/>
    <w:rsid w:val="7EA442EA"/>
    <w:rsid w:val="7F5A31EB"/>
    <w:rsid w:val="7F8E30C5"/>
    <w:rsid w:val="7F8F02C2"/>
    <w:rsid w:val="7FD2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9E97"/>
  <w15:chartTrackingRefBased/>
  <w15:docId w15:val="{787DC020-A849-4121-A981-DD48343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33"/>
      </w:numPr>
      <w:outlineLvl w:val="0"/>
    </w:pPr>
    <w:rPr>
      <w:kern w:val="24"/>
    </w:rPr>
  </w:style>
  <w:style w:type="paragraph" w:styleId="Heading2">
    <w:name w:val="heading 2"/>
    <w:aliases w:val="Outline2"/>
    <w:basedOn w:val="Normal"/>
    <w:next w:val="Normal"/>
    <w:link w:val="Heading2Char"/>
    <w:qFormat/>
    <w:rsid w:val="00C91823"/>
    <w:pPr>
      <w:numPr>
        <w:ilvl w:val="1"/>
        <w:numId w:val="33"/>
      </w:numPr>
      <w:outlineLvl w:val="1"/>
    </w:pPr>
    <w:rPr>
      <w:kern w:val="24"/>
    </w:rPr>
  </w:style>
  <w:style w:type="paragraph" w:styleId="Heading3">
    <w:name w:val="heading 3"/>
    <w:aliases w:val="Outline3"/>
    <w:basedOn w:val="Normal"/>
    <w:next w:val="Normal"/>
    <w:link w:val="Heading3Char"/>
    <w:qFormat/>
    <w:rsid w:val="00B773CE"/>
    <w:pPr>
      <w:numPr>
        <w:ilvl w:val="2"/>
        <w:numId w:val="33"/>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32"/>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FootnoteText">
    <w:name w:val="footnote text"/>
    <w:basedOn w:val="Normal"/>
    <w:link w:val="FootnoteTextChar"/>
    <w:uiPriority w:val="99"/>
    <w:semiHidden/>
    <w:unhideWhenUsed/>
    <w:rsid w:val="00036965"/>
    <w:rPr>
      <w:sz w:val="20"/>
    </w:rPr>
  </w:style>
  <w:style w:type="character" w:customStyle="1" w:styleId="FootnoteTextChar">
    <w:name w:val="Footnote Text Char"/>
    <w:basedOn w:val="DefaultParagraphFont"/>
    <w:link w:val="FootnoteText"/>
    <w:uiPriority w:val="99"/>
    <w:semiHidden/>
    <w:rsid w:val="00036965"/>
    <w:rPr>
      <w:rFonts w:ascii="Arial" w:hAnsi="Arial" w:cs="Times New Roman"/>
      <w:sz w:val="20"/>
      <w:szCs w:val="20"/>
    </w:rPr>
  </w:style>
  <w:style w:type="character" w:styleId="FootnoteReference">
    <w:name w:val="footnote reference"/>
    <w:basedOn w:val="DefaultParagraphFont"/>
    <w:uiPriority w:val="99"/>
    <w:semiHidden/>
    <w:unhideWhenUsed/>
    <w:rsid w:val="00036965"/>
    <w:rPr>
      <w:vertAlign w:val="superscript"/>
    </w:rPr>
  </w:style>
  <w:style w:type="character" w:styleId="Hyperlink">
    <w:name w:val="Hyperlink"/>
    <w:basedOn w:val="DefaultParagraphFont"/>
    <w:uiPriority w:val="99"/>
    <w:semiHidden/>
    <w:unhideWhenUsed/>
    <w:rsid w:val="006D156D"/>
    <w:rPr>
      <w:color w:val="0000FF"/>
      <w:u w:val="single"/>
    </w:rPr>
  </w:style>
  <w:style w:type="paragraph" w:styleId="ListParagraph">
    <w:name w:val="List Paragraph"/>
    <w:basedOn w:val="Normal"/>
    <w:uiPriority w:val="34"/>
    <w:qFormat/>
    <w:rsid w:val="008901C2"/>
    <w:pPr>
      <w:ind w:left="720"/>
      <w:contextualSpacing/>
    </w:pPr>
  </w:style>
  <w:style w:type="paragraph" w:styleId="Revision">
    <w:name w:val="Revision"/>
    <w:hidden/>
    <w:uiPriority w:val="99"/>
    <w:semiHidden/>
    <w:rsid w:val="00F94D46"/>
    <w:rPr>
      <w:rFonts w:ascii="Arial" w:hAnsi="Arial" w:cs="Times New Roman"/>
      <w:sz w:val="24"/>
      <w:szCs w:val="20"/>
    </w:rPr>
  </w:style>
  <w:style w:type="character" w:styleId="CommentReference">
    <w:name w:val="annotation reference"/>
    <w:basedOn w:val="DefaultParagraphFont"/>
    <w:uiPriority w:val="99"/>
    <w:semiHidden/>
    <w:unhideWhenUsed/>
    <w:rsid w:val="001966A6"/>
    <w:rPr>
      <w:sz w:val="16"/>
      <w:szCs w:val="16"/>
    </w:rPr>
  </w:style>
  <w:style w:type="paragraph" w:styleId="CommentText">
    <w:name w:val="annotation text"/>
    <w:basedOn w:val="Normal"/>
    <w:link w:val="CommentTextChar"/>
    <w:uiPriority w:val="99"/>
    <w:unhideWhenUsed/>
    <w:rsid w:val="001966A6"/>
    <w:rPr>
      <w:sz w:val="20"/>
    </w:rPr>
  </w:style>
  <w:style w:type="character" w:customStyle="1" w:styleId="CommentTextChar">
    <w:name w:val="Comment Text Char"/>
    <w:basedOn w:val="DefaultParagraphFont"/>
    <w:link w:val="CommentText"/>
    <w:uiPriority w:val="99"/>
    <w:rsid w:val="001966A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966A6"/>
    <w:rPr>
      <w:b/>
      <w:bCs/>
    </w:rPr>
  </w:style>
  <w:style w:type="character" w:customStyle="1" w:styleId="CommentSubjectChar">
    <w:name w:val="Comment Subject Char"/>
    <w:basedOn w:val="CommentTextChar"/>
    <w:link w:val="CommentSubject"/>
    <w:uiPriority w:val="99"/>
    <w:semiHidden/>
    <w:rsid w:val="001966A6"/>
    <w:rPr>
      <w:rFonts w:ascii="Arial" w:hAnsi="Arial" w:cs="Times New Roman"/>
      <w:b/>
      <w:bCs/>
      <w:sz w:val="20"/>
      <w:szCs w:val="20"/>
    </w:rPr>
  </w:style>
  <w:style w:type="character" w:styleId="FollowedHyperlink">
    <w:name w:val="FollowedHyperlink"/>
    <w:basedOn w:val="DefaultParagraphFont"/>
    <w:uiPriority w:val="99"/>
    <w:semiHidden/>
    <w:unhideWhenUsed/>
    <w:rsid w:val="00607A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E0AC-D54A-4963-B6DE-B80853FA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2855</Words>
  <Characters>16279</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Clark</dc:creator>
  <cp:keywords/>
  <dc:description/>
  <cp:lastModifiedBy>Chichkov, Georgi</cp:lastModifiedBy>
  <cp:revision>4</cp:revision>
  <dcterms:created xsi:type="dcterms:W3CDTF">2024-01-12T10:42:00Z</dcterms:created>
  <dcterms:modified xsi:type="dcterms:W3CDTF">2024-01-23T11:00:00Z</dcterms:modified>
</cp:coreProperties>
</file>