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9C89" w14:textId="77777777" w:rsidR="0084508C" w:rsidRDefault="003B3E1B" w:rsidP="00694C66">
      <w:pPr>
        <w:jc w:val="center"/>
        <w:rPr>
          <w:b/>
          <w:bCs/>
          <w:sz w:val="24"/>
          <w:szCs w:val="24"/>
        </w:rPr>
      </w:pPr>
      <w:r>
        <w:rPr>
          <w:b/>
          <w:bCs/>
          <w:sz w:val="24"/>
          <w:szCs w:val="24"/>
        </w:rPr>
        <w:t>UK Jurisdiction Taskforce – Digital Assets and English Insolvency Law</w:t>
      </w:r>
    </w:p>
    <w:p w14:paraId="1A35F27F" w14:textId="5DE7F054" w:rsidR="000C5CD8" w:rsidRPr="00070AA5" w:rsidRDefault="000C5CD8" w:rsidP="00694C66">
      <w:pPr>
        <w:jc w:val="center"/>
        <w:rPr>
          <w:b/>
          <w:bCs/>
          <w:sz w:val="24"/>
          <w:szCs w:val="24"/>
        </w:rPr>
      </w:pPr>
      <w:r w:rsidRPr="00070AA5">
        <w:rPr>
          <w:b/>
          <w:bCs/>
          <w:sz w:val="24"/>
          <w:szCs w:val="24"/>
        </w:rPr>
        <w:t>Consultation</w:t>
      </w:r>
    </w:p>
    <w:p w14:paraId="70EE3FE6" w14:textId="72C1A0B2" w:rsidR="00F4009E" w:rsidRPr="00070AA5" w:rsidRDefault="000C5CD8" w:rsidP="00694C66">
      <w:pPr>
        <w:jc w:val="center"/>
        <w:rPr>
          <w:b/>
          <w:bCs/>
          <w:sz w:val="24"/>
          <w:szCs w:val="24"/>
        </w:rPr>
      </w:pPr>
      <w:r w:rsidRPr="00070AA5">
        <w:rPr>
          <w:b/>
          <w:bCs/>
          <w:sz w:val="24"/>
          <w:szCs w:val="24"/>
        </w:rPr>
        <w:t xml:space="preserve">Response – </w:t>
      </w:r>
      <w:r w:rsidR="00D6765A">
        <w:rPr>
          <w:b/>
          <w:bCs/>
          <w:sz w:val="24"/>
          <w:szCs w:val="24"/>
        </w:rPr>
        <w:t>November</w:t>
      </w:r>
      <w:r w:rsidRPr="00070AA5">
        <w:rPr>
          <w:b/>
          <w:bCs/>
          <w:sz w:val="24"/>
          <w:szCs w:val="24"/>
        </w:rPr>
        <w:t xml:space="preserve"> 2023</w:t>
      </w:r>
    </w:p>
    <w:p w14:paraId="11083B01" w14:textId="25D86E0A" w:rsidR="000C5CD8" w:rsidRDefault="000C5CD8" w:rsidP="00694C66">
      <w:pPr>
        <w:spacing w:after="0"/>
        <w:jc w:val="both"/>
        <w:rPr>
          <w:sz w:val="24"/>
          <w:szCs w:val="24"/>
        </w:rPr>
      </w:pPr>
    </w:p>
    <w:p w14:paraId="1B180698" w14:textId="77777777" w:rsidR="00B64E1A" w:rsidRPr="00070AA5" w:rsidRDefault="00B64E1A" w:rsidP="00694C66">
      <w:pPr>
        <w:spacing w:after="0"/>
        <w:jc w:val="both"/>
        <w:rPr>
          <w:sz w:val="24"/>
          <w:szCs w:val="24"/>
        </w:rPr>
      </w:pPr>
    </w:p>
    <w:p w14:paraId="28BC01A1" w14:textId="72B314E4" w:rsidR="000C5CD8" w:rsidRPr="00070AA5" w:rsidRDefault="000C5CD8" w:rsidP="00694C66">
      <w:pPr>
        <w:spacing w:after="0"/>
        <w:jc w:val="both"/>
        <w:rPr>
          <w:sz w:val="24"/>
          <w:szCs w:val="24"/>
        </w:rPr>
      </w:pPr>
      <w:r w:rsidRPr="00070AA5">
        <w:rPr>
          <w:sz w:val="24"/>
          <w:szCs w:val="24"/>
        </w:rPr>
        <w:t>This response is provided by Dr Alisdair MacPherson</w:t>
      </w:r>
      <w:r w:rsidR="0089046C">
        <w:rPr>
          <w:sz w:val="24"/>
          <w:szCs w:val="24"/>
        </w:rPr>
        <w:t xml:space="preserve">, Professor Donna McKenzie </w:t>
      </w:r>
      <w:proofErr w:type="gramStart"/>
      <w:r w:rsidR="0089046C">
        <w:rPr>
          <w:sz w:val="24"/>
          <w:szCs w:val="24"/>
        </w:rPr>
        <w:t>Skene</w:t>
      </w:r>
      <w:proofErr w:type="gramEnd"/>
      <w:r w:rsidR="0089046C">
        <w:rPr>
          <w:sz w:val="24"/>
          <w:szCs w:val="24"/>
        </w:rPr>
        <w:t xml:space="preserve"> and Dr Chike Emedosi. We are all </w:t>
      </w:r>
      <w:r w:rsidRPr="00070AA5">
        <w:rPr>
          <w:sz w:val="24"/>
          <w:szCs w:val="24"/>
        </w:rPr>
        <w:t xml:space="preserve">members of the Centre for </w:t>
      </w:r>
      <w:r w:rsidR="00DB4400">
        <w:rPr>
          <w:sz w:val="24"/>
          <w:szCs w:val="24"/>
        </w:rPr>
        <w:t xml:space="preserve">Commercial Law and the Centre for </w:t>
      </w:r>
      <w:r w:rsidRPr="00070AA5">
        <w:rPr>
          <w:sz w:val="24"/>
          <w:szCs w:val="24"/>
        </w:rPr>
        <w:t>Scots Law</w:t>
      </w:r>
      <w:r w:rsidR="007C44B6">
        <w:rPr>
          <w:sz w:val="24"/>
          <w:szCs w:val="24"/>
        </w:rPr>
        <w:t xml:space="preserve"> </w:t>
      </w:r>
      <w:r w:rsidRPr="00070AA5">
        <w:rPr>
          <w:sz w:val="24"/>
          <w:szCs w:val="24"/>
        </w:rPr>
        <w:t>at the University of Aberdeen.</w:t>
      </w:r>
    </w:p>
    <w:p w14:paraId="3C38047B" w14:textId="77777777" w:rsidR="00070AA5" w:rsidRDefault="00070AA5" w:rsidP="00694C66">
      <w:pPr>
        <w:spacing w:after="0"/>
        <w:jc w:val="both"/>
        <w:rPr>
          <w:b/>
          <w:bCs/>
          <w:sz w:val="24"/>
          <w:szCs w:val="24"/>
        </w:rPr>
      </w:pPr>
    </w:p>
    <w:p w14:paraId="37438868" w14:textId="77777777" w:rsidR="00B64E1A" w:rsidRDefault="00B64E1A" w:rsidP="00694C66">
      <w:pPr>
        <w:spacing w:after="0"/>
        <w:jc w:val="both"/>
        <w:rPr>
          <w:b/>
          <w:bCs/>
          <w:sz w:val="24"/>
          <w:szCs w:val="24"/>
        </w:rPr>
      </w:pPr>
    </w:p>
    <w:p w14:paraId="3135D9CE" w14:textId="25F85F62" w:rsidR="000C5CD8" w:rsidRDefault="00B64E1A" w:rsidP="00D85B3D">
      <w:pPr>
        <w:spacing w:after="0"/>
        <w:jc w:val="both"/>
        <w:rPr>
          <w:b/>
          <w:bCs/>
          <w:sz w:val="24"/>
          <w:szCs w:val="24"/>
        </w:rPr>
      </w:pPr>
      <w:r w:rsidRPr="00B64E1A">
        <w:rPr>
          <w:b/>
          <w:bCs/>
          <w:sz w:val="24"/>
          <w:szCs w:val="24"/>
        </w:rPr>
        <w:t>Are there any material issues of concern to stakeholders in relation to the application of</w:t>
      </w:r>
      <w:r w:rsidR="00AF33D2">
        <w:rPr>
          <w:b/>
          <w:bCs/>
          <w:sz w:val="24"/>
          <w:szCs w:val="24"/>
        </w:rPr>
        <w:t xml:space="preserve"> </w:t>
      </w:r>
      <w:r w:rsidRPr="00B64E1A">
        <w:rPr>
          <w:b/>
          <w:bCs/>
          <w:sz w:val="24"/>
          <w:szCs w:val="24"/>
        </w:rPr>
        <w:t>English insolvency law to digital assets, other than those set out in the Annex to this</w:t>
      </w:r>
      <w:r w:rsidR="00D85B3D">
        <w:rPr>
          <w:b/>
          <w:bCs/>
          <w:sz w:val="24"/>
          <w:szCs w:val="24"/>
        </w:rPr>
        <w:t xml:space="preserve"> </w:t>
      </w:r>
      <w:r w:rsidRPr="00B64E1A">
        <w:rPr>
          <w:b/>
          <w:bCs/>
          <w:sz w:val="24"/>
          <w:szCs w:val="24"/>
        </w:rPr>
        <w:t>consultation paper?</w:t>
      </w:r>
    </w:p>
    <w:p w14:paraId="5EF169C0" w14:textId="77777777" w:rsidR="00B64E1A" w:rsidRDefault="00B64E1A" w:rsidP="00694C66">
      <w:pPr>
        <w:spacing w:after="0"/>
        <w:jc w:val="both"/>
        <w:rPr>
          <w:b/>
          <w:bCs/>
          <w:sz w:val="24"/>
          <w:szCs w:val="24"/>
        </w:rPr>
      </w:pPr>
    </w:p>
    <w:p w14:paraId="62B193D5" w14:textId="4CADA549" w:rsidR="00B64E1A" w:rsidRPr="00B64E1A" w:rsidRDefault="00B64E1A" w:rsidP="00694C66">
      <w:pPr>
        <w:spacing w:after="0"/>
        <w:jc w:val="both"/>
        <w:rPr>
          <w:sz w:val="24"/>
          <w:szCs w:val="24"/>
        </w:rPr>
      </w:pPr>
      <w:r>
        <w:rPr>
          <w:sz w:val="24"/>
          <w:szCs w:val="24"/>
        </w:rPr>
        <w:t>We are pleased to have the opportunity to respond to th</w:t>
      </w:r>
      <w:r w:rsidR="005B40D3">
        <w:rPr>
          <w:sz w:val="24"/>
          <w:szCs w:val="24"/>
        </w:rPr>
        <w:t>is</w:t>
      </w:r>
      <w:r>
        <w:rPr>
          <w:sz w:val="24"/>
          <w:szCs w:val="24"/>
        </w:rPr>
        <w:t xml:space="preserve"> consultation. </w:t>
      </w:r>
      <w:r w:rsidR="00FE38B1">
        <w:rPr>
          <w:sz w:val="24"/>
          <w:szCs w:val="24"/>
        </w:rPr>
        <w:t>In terms of answering th</w:t>
      </w:r>
      <w:r w:rsidR="005B40D3">
        <w:rPr>
          <w:sz w:val="24"/>
          <w:szCs w:val="24"/>
        </w:rPr>
        <w:t>e</w:t>
      </w:r>
      <w:r w:rsidR="00FE38B1">
        <w:rPr>
          <w:sz w:val="24"/>
          <w:szCs w:val="24"/>
        </w:rPr>
        <w:t xml:space="preserve"> </w:t>
      </w:r>
      <w:r w:rsidR="00DB4400">
        <w:rPr>
          <w:sz w:val="24"/>
          <w:szCs w:val="24"/>
        </w:rPr>
        <w:t xml:space="preserve">principal </w:t>
      </w:r>
      <w:r w:rsidR="00FE38B1">
        <w:rPr>
          <w:sz w:val="24"/>
          <w:szCs w:val="24"/>
        </w:rPr>
        <w:t xml:space="preserve">question, we have found it most </w:t>
      </w:r>
      <w:r w:rsidR="005B40D3">
        <w:rPr>
          <w:sz w:val="24"/>
          <w:szCs w:val="24"/>
        </w:rPr>
        <w:t xml:space="preserve">useful to reflect upon the </w:t>
      </w:r>
      <w:proofErr w:type="gramStart"/>
      <w:r w:rsidR="005B40D3">
        <w:rPr>
          <w:sz w:val="24"/>
          <w:szCs w:val="24"/>
        </w:rPr>
        <w:t>particular questions</w:t>
      </w:r>
      <w:proofErr w:type="gramEnd"/>
      <w:r w:rsidR="005B40D3">
        <w:rPr>
          <w:sz w:val="24"/>
          <w:szCs w:val="24"/>
        </w:rPr>
        <w:t xml:space="preserve"> outlined in the Annex to the consultation paper.</w:t>
      </w:r>
      <w:r w:rsidR="00BC276B">
        <w:rPr>
          <w:sz w:val="24"/>
          <w:szCs w:val="24"/>
        </w:rPr>
        <w:t xml:space="preserve"> We also provide our answers to the questions.</w:t>
      </w:r>
    </w:p>
    <w:p w14:paraId="521032EF" w14:textId="77777777" w:rsidR="00B64E1A" w:rsidRPr="00070AA5" w:rsidRDefault="00B64E1A" w:rsidP="00694C66">
      <w:pPr>
        <w:spacing w:after="0"/>
        <w:jc w:val="both"/>
        <w:rPr>
          <w:b/>
          <w:bCs/>
          <w:sz w:val="24"/>
          <w:szCs w:val="24"/>
        </w:rPr>
      </w:pPr>
    </w:p>
    <w:p w14:paraId="1F785043" w14:textId="10337C22" w:rsidR="00BC276B" w:rsidRPr="00BC276B" w:rsidRDefault="00BC276B" w:rsidP="00694C66">
      <w:pPr>
        <w:pStyle w:val="ListParagraph"/>
        <w:numPr>
          <w:ilvl w:val="0"/>
          <w:numId w:val="2"/>
        </w:numPr>
        <w:spacing w:after="0"/>
        <w:jc w:val="both"/>
        <w:rPr>
          <w:b/>
          <w:bCs/>
          <w:sz w:val="24"/>
          <w:szCs w:val="24"/>
        </w:rPr>
      </w:pPr>
      <w:r w:rsidRPr="00BC276B">
        <w:rPr>
          <w:b/>
          <w:bCs/>
          <w:sz w:val="24"/>
          <w:szCs w:val="24"/>
        </w:rPr>
        <w:t>Are digital assets “property” forming part of the estate of the insolvent company or individual for the purposes of the English insolvency legislation?</w:t>
      </w:r>
    </w:p>
    <w:p w14:paraId="56F75FD7" w14:textId="77777777" w:rsidR="00BC276B" w:rsidRDefault="00BC276B" w:rsidP="00694C66">
      <w:pPr>
        <w:spacing w:after="0"/>
        <w:jc w:val="both"/>
        <w:rPr>
          <w:sz w:val="24"/>
          <w:szCs w:val="24"/>
        </w:rPr>
      </w:pPr>
    </w:p>
    <w:p w14:paraId="6FF9CB6D" w14:textId="262DBF9E" w:rsidR="00844950" w:rsidRDefault="00B041C4" w:rsidP="00694C66">
      <w:pPr>
        <w:spacing w:after="0"/>
        <w:jc w:val="both"/>
        <w:rPr>
          <w:sz w:val="24"/>
          <w:szCs w:val="24"/>
        </w:rPr>
      </w:pPr>
      <w:r>
        <w:rPr>
          <w:sz w:val="24"/>
          <w:szCs w:val="24"/>
        </w:rPr>
        <w:t xml:space="preserve">Yes, digital assets are property objects </w:t>
      </w:r>
      <w:r w:rsidR="00CA0269">
        <w:rPr>
          <w:sz w:val="24"/>
          <w:szCs w:val="24"/>
        </w:rPr>
        <w:t xml:space="preserve">(see the Law Commission’s </w:t>
      </w:r>
      <w:r w:rsidR="00AD1F70">
        <w:rPr>
          <w:sz w:val="24"/>
          <w:szCs w:val="24"/>
        </w:rPr>
        <w:t>consideration of the matter</w:t>
      </w:r>
      <w:r w:rsidR="00D93F01">
        <w:rPr>
          <w:sz w:val="24"/>
          <w:szCs w:val="24"/>
        </w:rPr>
        <w:t xml:space="preserve"> in</w:t>
      </w:r>
      <w:r w:rsidR="00DA3EDD">
        <w:rPr>
          <w:sz w:val="24"/>
          <w:szCs w:val="24"/>
        </w:rPr>
        <w:t xml:space="preserve"> </w:t>
      </w:r>
      <w:r w:rsidR="00DA3EDD">
        <w:rPr>
          <w:i/>
          <w:iCs/>
          <w:sz w:val="24"/>
          <w:szCs w:val="24"/>
        </w:rPr>
        <w:t xml:space="preserve">Digital Assets: Consultation Paper </w:t>
      </w:r>
      <w:r w:rsidR="00B32FC8">
        <w:rPr>
          <w:sz w:val="24"/>
          <w:szCs w:val="24"/>
        </w:rPr>
        <w:t>(Law Com No 256, 2022) and</w:t>
      </w:r>
      <w:r w:rsidR="00D93F01">
        <w:rPr>
          <w:sz w:val="24"/>
          <w:szCs w:val="24"/>
        </w:rPr>
        <w:t xml:space="preserve"> </w:t>
      </w:r>
      <w:r w:rsidR="00240C11">
        <w:rPr>
          <w:i/>
          <w:iCs/>
          <w:sz w:val="24"/>
          <w:szCs w:val="24"/>
        </w:rPr>
        <w:t>Digital Assets: Final Report</w:t>
      </w:r>
      <w:r w:rsidR="00DA3EDD">
        <w:rPr>
          <w:i/>
          <w:iCs/>
          <w:sz w:val="24"/>
          <w:szCs w:val="24"/>
        </w:rPr>
        <w:t xml:space="preserve"> </w:t>
      </w:r>
      <w:r w:rsidR="00DA3EDD">
        <w:rPr>
          <w:sz w:val="24"/>
          <w:szCs w:val="24"/>
        </w:rPr>
        <w:t>(</w:t>
      </w:r>
      <w:r w:rsidR="00B32FC8">
        <w:rPr>
          <w:sz w:val="24"/>
          <w:szCs w:val="24"/>
        </w:rPr>
        <w:t xml:space="preserve">Law Com No </w:t>
      </w:r>
      <w:r w:rsidR="00671A80">
        <w:rPr>
          <w:sz w:val="24"/>
          <w:szCs w:val="24"/>
        </w:rPr>
        <w:t xml:space="preserve">412, </w:t>
      </w:r>
      <w:r w:rsidR="00DA3EDD">
        <w:rPr>
          <w:sz w:val="24"/>
          <w:szCs w:val="24"/>
        </w:rPr>
        <w:t>20</w:t>
      </w:r>
      <w:r w:rsidR="00671A80">
        <w:rPr>
          <w:sz w:val="24"/>
          <w:szCs w:val="24"/>
        </w:rPr>
        <w:t>23)</w:t>
      </w:r>
      <w:r w:rsidR="00240C11">
        <w:rPr>
          <w:sz w:val="24"/>
          <w:szCs w:val="24"/>
        </w:rPr>
        <w:t xml:space="preserve"> and the sources cited therein</w:t>
      </w:r>
      <w:r w:rsidR="00CA0269">
        <w:rPr>
          <w:sz w:val="24"/>
          <w:szCs w:val="24"/>
        </w:rPr>
        <w:t xml:space="preserve">) </w:t>
      </w:r>
      <w:r>
        <w:rPr>
          <w:sz w:val="24"/>
          <w:szCs w:val="24"/>
        </w:rPr>
        <w:t>and can be considered “property” forming part of the estate of</w:t>
      </w:r>
      <w:r w:rsidR="00CA0269">
        <w:rPr>
          <w:sz w:val="24"/>
          <w:szCs w:val="24"/>
        </w:rPr>
        <w:t xml:space="preserve"> an insolvent company or individual for the purposes of the English insolvency legislation. The</w:t>
      </w:r>
      <w:r w:rsidR="00567927">
        <w:rPr>
          <w:sz w:val="24"/>
          <w:szCs w:val="24"/>
        </w:rPr>
        <w:t xml:space="preserve"> definition of “property” in </w:t>
      </w:r>
      <w:r w:rsidR="00872819">
        <w:rPr>
          <w:sz w:val="24"/>
          <w:szCs w:val="24"/>
        </w:rPr>
        <w:t xml:space="preserve">s 436(1) of </w:t>
      </w:r>
      <w:r w:rsidR="00567927">
        <w:rPr>
          <w:sz w:val="24"/>
          <w:szCs w:val="24"/>
        </w:rPr>
        <w:t xml:space="preserve">the </w:t>
      </w:r>
      <w:r w:rsidR="00872819">
        <w:rPr>
          <w:sz w:val="24"/>
          <w:szCs w:val="24"/>
        </w:rPr>
        <w:t xml:space="preserve">Insolvency Act 1986 is </w:t>
      </w:r>
      <w:r w:rsidR="00A372C0">
        <w:rPr>
          <w:sz w:val="24"/>
          <w:szCs w:val="24"/>
        </w:rPr>
        <w:t xml:space="preserve">very wide and non-exhaustive. However, if there is any doubt on the point, a minor amendment to expressly include </w:t>
      </w:r>
      <w:r w:rsidR="00141598">
        <w:rPr>
          <w:sz w:val="24"/>
          <w:szCs w:val="24"/>
        </w:rPr>
        <w:t xml:space="preserve">digital assets could be considered (which could also have the benefit of determining </w:t>
      </w:r>
      <w:r w:rsidR="00EC6870">
        <w:rPr>
          <w:sz w:val="24"/>
          <w:szCs w:val="24"/>
        </w:rPr>
        <w:t xml:space="preserve">what types of such assets fall within </w:t>
      </w:r>
      <w:r w:rsidR="00844950">
        <w:rPr>
          <w:sz w:val="24"/>
          <w:szCs w:val="24"/>
        </w:rPr>
        <w:t>the meaning of property here and which do not)</w:t>
      </w:r>
      <w:r w:rsidR="00141598">
        <w:rPr>
          <w:sz w:val="24"/>
          <w:szCs w:val="24"/>
        </w:rPr>
        <w:t>.</w:t>
      </w:r>
    </w:p>
    <w:p w14:paraId="19A1D789" w14:textId="77777777" w:rsidR="00844950" w:rsidRDefault="00844950" w:rsidP="00694C66">
      <w:pPr>
        <w:spacing w:after="0"/>
        <w:jc w:val="both"/>
        <w:rPr>
          <w:sz w:val="24"/>
          <w:szCs w:val="24"/>
        </w:rPr>
      </w:pPr>
    </w:p>
    <w:p w14:paraId="78193B10" w14:textId="30744AFB" w:rsidR="00BC276B" w:rsidRDefault="00844950" w:rsidP="00694C66">
      <w:pPr>
        <w:spacing w:after="0"/>
        <w:jc w:val="both"/>
        <w:rPr>
          <w:sz w:val="24"/>
          <w:szCs w:val="24"/>
        </w:rPr>
      </w:pPr>
      <w:r>
        <w:rPr>
          <w:sz w:val="24"/>
          <w:szCs w:val="24"/>
        </w:rPr>
        <w:t xml:space="preserve">It is important to note that although the consultation is examining English law, the definition of “property” in </w:t>
      </w:r>
      <w:r w:rsidR="00A3084C">
        <w:rPr>
          <w:sz w:val="24"/>
          <w:szCs w:val="24"/>
        </w:rPr>
        <w:t xml:space="preserve">the Insolvency Act 1986, s 436(1), </w:t>
      </w:r>
      <w:r w:rsidR="002E1C6C">
        <w:rPr>
          <w:sz w:val="24"/>
          <w:szCs w:val="24"/>
        </w:rPr>
        <w:t xml:space="preserve">also </w:t>
      </w:r>
      <w:r w:rsidR="00A3084C">
        <w:rPr>
          <w:sz w:val="24"/>
          <w:szCs w:val="24"/>
        </w:rPr>
        <w:t xml:space="preserve">applies to corporate insolvency law in Scotland. </w:t>
      </w:r>
      <w:r w:rsidR="00BF4AC9">
        <w:rPr>
          <w:sz w:val="24"/>
          <w:szCs w:val="24"/>
        </w:rPr>
        <w:t xml:space="preserve">As such, any amendments should take account of the Scottish position. </w:t>
      </w:r>
      <w:r w:rsidR="002E1C6C">
        <w:rPr>
          <w:sz w:val="24"/>
          <w:szCs w:val="24"/>
        </w:rPr>
        <w:t xml:space="preserve">There is a general absence of case law on digital assets in Scotland and </w:t>
      </w:r>
      <w:r w:rsidR="005C5335">
        <w:rPr>
          <w:sz w:val="24"/>
          <w:szCs w:val="24"/>
        </w:rPr>
        <w:t xml:space="preserve">limited commentary, but see e.g. </w:t>
      </w:r>
      <w:r w:rsidR="00977162">
        <w:rPr>
          <w:sz w:val="24"/>
          <w:szCs w:val="24"/>
        </w:rPr>
        <w:t xml:space="preserve">A Held, A MacPherson and B </w:t>
      </w:r>
      <w:r w:rsidR="00A06010" w:rsidRPr="00A06010">
        <w:rPr>
          <w:sz w:val="24"/>
          <w:szCs w:val="24"/>
        </w:rPr>
        <w:t>Yüksel Ripley</w:t>
      </w:r>
      <w:r w:rsidR="00A06010">
        <w:rPr>
          <w:sz w:val="24"/>
          <w:szCs w:val="24"/>
        </w:rPr>
        <w:t xml:space="preserve">, </w:t>
      </w:r>
      <w:r w:rsidR="00A06010" w:rsidRPr="00A06010">
        <w:rPr>
          <w:i/>
          <w:iCs/>
          <w:sz w:val="24"/>
          <w:szCs w:val="24"/>
        </w:rPr>
        <w:t>United Kingdom (UK) Report on Cryptocurrencies: With a Focus on the Law of England and Wales and the Law of Scotland</w:t>
      </w:r>
      <w:r w:rsidR="000E1CA0">
        <w:rPr>
          <w:sz w:val="24"/>
          <w:szCs w:val="24"/>
        </w:rPr>
        <w:t xml:space="preserve">, </w:t>
      </w:r>
      <w:r w:rsidR="002D0E31">
        <w:rPr>
          <w:sz w:val="24"/>
          <w:szCs w:val="24"/>
        </w:rPr>
        <w:t xml:space="preserve">especially </w:t>
      </w:r>
      <w:r w:rsidR="000E1CA0">
        <w:rPr>
          <w:sz w:val="24"/>
          <w:szCs w:val="24"/>
        </w:rPr>
        <w:t>p</w:t>
      </w:r>
      <w:r w:rsidR="002D0E31">
        <w:rPr>
          <w:sz w:val="24"/>
          <w:szCs w:val="24"/>
        </w:rPr>
        <w:t xml:space="preserve"> 45 onwards</w:t>
      </w:r>
      <w:r w:rsidR="00350A66">
        <w:rPr>
          <w:sz w:val="24"/>
          <w:szCs w:val="24"/>
        </w:rPr>
        <w:t xml:space="preserve"> (and see p</w:t>
      </w:r>
      <w:r w:rsidR="00694C66">
        <w:rPr>
          <w:sz w:val="24"/>
          <w:szCs w:val="24"/>
        </w:rPr>
        <w:t xml:space="preserve"> 70 ff for insolvency law), available at</w:t>
      </w:r>
      <w:r w:rsidR="000E1CA0">
        <w:rPr>
          <w:sz w:val="24"/>
          <w:szCs w:val="24"/>
        </w:rPr>
        <w:t xml:space="preserve">  </w:t>
      </w:r>
      <w:hyperlink r:id="rId8" w:history="1">
        <w:r w:rsidR="00694C66" w:rsidRPr="00C4171D">
          <w:rPr>
            <w:rStyle w:val="Hyperlink"/>
            <w:sz w:val="24"/>
            <w:szCs w:val="24"/>
          </w:rPr>
          <w:t>https://papers.ssrn.com/sol3/papers.cfm?abstract_id=4543838</w:t>
        </w:r>
      </w:hyperlink>
      <w:r w:rsidR="00694C66">
        <w:rPr>
          <w:sz w:val="24"/>
          <w:szCs w:val="24"/>
        </w:rPr>
        <w:t xml:space="preserve">. </w:t>
      </w:r>
    </w:p>
    <w:p w14:paraId="26B79653" w14:textId="77777777" w:rsidR="00694C66" w:rsidRDefault="00694C66" w:rsidP="00694C66">
      <w:pPr>
        <w:spacing w:after="0"/>
        <w:rPr>
          <w:sz w:val="24"/>
          <w:szCs w:val="24"/>
        </w:rPr>
      </w:pPr>
    </w:p>
    <w:p w14:paraId="3C8CA11B" w14:textId="72E235BF" w:rsidR="00694C66" w:rsidRPr="00675E26" w:rsidRDefault="00694C66" w:rsidP="00675E26">
      <w:pPr>
        <w:pStyle w:val="ListParagraph"/>
        <w:numPr>
          <w:ilvl w:val="0"/>
          <w:numId w:val="2"/>
        </w:numPr>
        <w:spacing w:after="0"/>
        <w:jc w:val="both"/>
        <w:rPr>
          <w:b/>
          <w:bCs/>
          <w:sz w:val="24"/>
          <w:szCs w:val="24"/>
        </w:rPr>
      </w:pPr>
      <w:r w:rsidRPr="00675E26">
        <w:rPr>
          <w:b/>
          <w:bCs/>
          <w:sz w:val="24"/>
          <w:szCs w:val="24"/>
        </w:rPr>
        <w:t>For international allocation of insolvency jurisdiction based upon location of centre of main</w:t>
      </w:r>
      <w:r w:rsidR="00675E26">
        <w:rPr>
          <w:b/>
          <w:bCs/>
          <w:sz w:val="24"/>
          <w:szCs w:val="24"/>
        </w:rPr>
        <w:t xml:space="preserve"> </w:t>
      </w:r>
      <w:r w:rsidRPr="00675E26">
        <w:rPr>
          <w:b/>
          <w:bCs/>
          <w:sz w:val="24"/>
          <w:szCs w:val="24"/>
        </w:rPr>
        <w:t>interests (COMI), what rules apply to determine where digital assets are located and/or administered?</w:t>
      </w:r>
    </w:p>
    <w:p w14:paraId="6E01C809" w14:textId="2BD0943E" w:rsidR="00694C66" w:rsidRPr="00694C66" w:rsidRDefault="00694C66" w:rsidP="00694C66">
      <w:pPr>
        <w:pStyle w:val="ListParagraph"/>
        <w:spacing w:after="0"/>
        <w:ind w:left="360"/>
        <w:rPr>
          <w:sz w:val="24"/>
          <w:szCs w:val="24"/>
        </w:rPr>
      </w:pPr>
    </w:p>
    <w:p w14:paraId="57D83704" w14:textId="504E60EB" w:rsidR="00694C66" w:rsidRDefault="0059175D" w:rsidP="00694C66">
      <w:pPr>
        <w:spacing w:after="0"/>
        <w:jc w:val="both"/>
        <w:rPr>
          <w:sz w:val="24"/>
          <w:szCs w:val="24"/>
        </w:rPr>
      </w:pPr>
      <w:r>
        <w:rPr>
          <w:sz w:val="24"/>
          <w:szCs w:val="24"/>
        </w:rPr>
        <w:t xml:space="preserve">As well as focusing on international allocation of insolvency jurisdiction, </w:t>
      </w:r>
      <w:r w:rsidR="00FD3AC2">
        <w:rPr>
          <w:sz w:val="24"/>
          <w:szCs w:val="24"/>
        </w:rPr>
        <w:t>based upon location of COMI, this question should consider cross-border jurisdiction issues within the UK,</w:t>
      </w:r>
      <w:r w:rsidR="006E67A1">
        <w:rPr>
          <w:sz w:val="24"/>
          <w:szCs w:val="24"/>
        </w:rPr>
        <w:t xml:space="preserve"> </w:t>
      </w:r>
      <w:proofErr w:type="gramStart"/>
      <w:r w:rsidR="006E67A1">
        <w:rPr>
          <w:sz w:val="24"/>
          <w:szCs w:val="24"/>
        </w:rPr>
        <w:t>e.g.</w:t>
      </w:r>
      <w:proofErr w:type="gramEnd"/>
      <w:r w:rsidR="006E67A1">
        <w:rPr>
          <w:sz w:val="24"/>
          <w:szCs w:val="24"/>
        </w:rPr>
        <w:t xml:space="preserve"> between England and Wales</w:t>
      </w:r>
      <w:r w:rsidR="00062B8D">
        <w:rPr>
          <w:sz w:val="24"/>
          <w:szCs w:val="24"/>
        </w:rPr>
        <w:t xml:space="preserve"> and Scotland</w:t>
      </w:r>
      <w:r w:rsidR="006E67A1">
        <w:rPr>
          <w:sz w:val="24"/>
          <w:szCs w:val="24"/>
        </w:rPr>
        <w:t>.</w:t>
      </w:r>
    </w:p>
    <w:p w14:paraId="6EB7BC92" w14:textId="77777777" w:rsidR="00D04133" w:rsidRDefault="00D04133" w:rsidP="00694C66">
      <w:pPr>
        <w:spacing w:after="0"/>
        <w:jc w:val="both"/>
        <w:rPr>
          <w:sz w:val="24"/>
          <w:szCs w:val="24"/>
        </w:rPr>
      </w:pPr>
    </w:p>
    <w:p w14:paraId="21662C1C" w14:textId="52EDB6E9" w:rsidR="002759B6" w:rsidRDefault="00E67192" w:rsidP="00E67192">
      <w:pPr>
        <w:spacing w:after="0"/>
        <w:jc w:val="both"/>
        <w:rPr>
          <w:sz w:val="24"/>
          <w:szCs w:val="24"/>
        </w:rPr>
      </w:pPr>
      <w:r>
        <w:rPr>
          <w:sz w:val="24"/>
          <w:szCs w:val="24"/>
        </w:rPr>
        <w:lastRenderedPageBreak/>
        <w:t>T</w:t>
      </w:r>
      <w:r w:rsidR="002759B6">
        <w:rPr>
          <w:sz w:val="24"/>
          <w:szCs w:val="24"/>
        </w:rPr>
        <w:t>here is some</w:t>
      </w:r>
      <w:r w:rsidR="00D2705B">
        <w:rPr>
          <w:sz w:val="24"/>
          <w:szCs w:val="24"/>
        </w:rPr>
        <w:t xml:space="preserve"> </w:t>
      </w:r>
      <w:r w:rsidR="002759B6">
        <w:rPr>
          <w:sz w:val="24"/>
          <w:szCs w:val="24"/>
        </w:rPr>
        <w:t xml:space="preserve">authority </w:t>
      </w:r>
      <w:r w:rsidR="00A31404">
        <w:rPr>
          <w:sz w:val="24"/>
          <w:szCs w:val="24"/>
        </w:rPr>
        <w:t xml:space="preserve">in English law </w:t>
      </w:r>
      <w:r w:rsidR="00E5213F">
        <w:rPr>
          <w:sz w:val="24"/>
          <w:szCs w:val="24"/>
        </w:rPr>
        <w:t>which</w:t>
      </w:r>
      <w:r w:rsidR="002759B6">
        <w:rPr>
          <w:sz w:val="24"/>
          <w:szCs w:val="24"/>
        </w:rPr>
        <w:t xml:space="preserve"> </w:t>
      </w:r>
      <w:r w:rsidR="00401045">
        <w:rPr>
          <w:sz w:val="24"/>
          <w:szCs w:val="24"/>
        </w:rPr>
        <w:t>provides that cryptoassets are located w</w:t>
      </w:r>
      <w:r w:rsidR="00F42C9F">
        <w:rPr>
          <w:sz w:val="24"/>
          <w:szCs w:val="24"/>
        </w:rPr>
        <w:t xml:space="preserve">here the party who owns the digital assets is domiciled </w:t>
      </w:r>
      <w:r w:rsidR="00C66B86">
        <w:rPr>
          <w:sz w:val="24"/>
          <w:szCs w:val="24"/>
        </w:rPr>
        <w:t>(</w:t>
      </w:r>
      <w:r w:rsidR="00C66B86" w:rsidRPr="00A31404">
        <w:rPr>
          <w:i/>
          <w:iCs/>
          <w:sz w:val="24"/>
          <w:szCs w:val="24"/>
        </w:rPr>
        <w:t>Ion Science v Persons Unknown</w:t>
      </w:r>
      <w:r w:rsidR="00C66B86" w:rsidRPr="00A31404">
        <w:rPr>
          <w:sz w:val="24"/>
          <w:szCs w:val="24"/>
        </w:rPr>
        <w:t xml:space="preserve"> (unreported) (21 December 2020)</w:t>
      </w:r>
      <w:r w:rsidR="00C66B86">
        <w:rPr>
          <w:sz w:val="24"/>
          <w:szCs w:val="24"/>
        </w:rPr>
        <w:t xml:space="preserve"> and </w:t>
      </w:r>
      <w:r w:rsidR="00C66B86" w:rsidRPr="00E67192">
        <w:rPr>
          <w:i/>
          <w:iCs/>
          <w:sz w:val="24"/>
          <w:szCs w:val="24"/>
        </w:rPr>
        <w:t>Fetch.ai Ltd v Persons Unknown</w:t>
      </w:r>
      <w:r w:rsidR="00C66B86" w:rsidRPr="00E67192">
        <w:rPr>
          <w:sz w:val="24"/>
          <w:szCs w:val="24"/>
        </w:rPr>
        <w:t xml:space="preserve"> [2021] EWHC 2254 (Comm)</w:t>
      </w:r>
      <w:r w:rsidR="00C66B86">
        <w:rPr>
          <w:sz w:val="24"/>
          <w:szCs w:val="24"/>
        </w:rPr>
        <w:t>)</w:t>
      </w:r>
      <w:r w:rsidR="00F42C9F">
        <w:rPr>
          <w:sz w:val="24"/>
          <w:szCs w:val="24"/>
        </w:rPr>
        <w:t xml:space="preserve">. </w:t>
      </w:r>
      <w:r w:rsidR="002759B6">
        <w:rPr>
          <w:sz w:val="24"/>
          <w:szCs w:val="24"/>
        </w:rPr>
        <w:t xml:space="preserve">However, there are other possibilities too. </w:t>
      </w:r>
      <w:r w:rsidR="009E0981">
        <w:rPr>
          <w:sz w:val="24"/>
          <w:szCs w:val="24"/>
        </w:rPr>
        <w:t xml:space="preserve">For private international law issues </w:t>
      </w:r>
      <w:r w:rsidR="00D2705B">
        <w:rPr>
          <w:sz w:val="24"/>
          <w:szCs w:val="24"/>
        </w:rPr>
        <w:t xml:space="preserve">relating to </w:t>
      </w:r>
      <w:r w:rsidR="00C66B86">
        <w:rPr>
          <w:sz w:val="24"/>
          <w:szCs w:val="24"/>
        </w:rPr>
        <w:t xml:space="preserve">digital assets, see e.g. </w:t>
      </w:r>
      <w:r w:rsidR="00176BE9" w:rsidRPr="00176BE9">
        <w:rPr>
          <w:sz w:val="24"/>
          <w:szCs w:val="24"/>
        </w:rPr>
        <w:t xml:space="preserve">A. Dickinson, </w:t>
      </w:r>
      <w:r w:rsidR="00176BE9">
        <w:rPr>
          <w:sz w:val="24"/>
          <w:szCs w:val="24"/>
        </w:rPr>
        <w:t>“</w:t>
      </w:r>
      <w:r w:rsidR="00176BE9" w:rsidRPr="00176BE9">
        <w:rPr>
          <w:sz w:val="24"/>
          <w:szCs w:val="24"/>
        </w:rPr>
        <w:t>Cryptocurrencies and the Conflict of Laws</w:t>
      </w:r>
      <w:r w:rsidR="00176BE9">
        <w:rPr>
          <w:sz w:val="24"/>
          <w:szCs w:val="24"/>
        </w:rPr>
        <w:t>”</w:t>
      </w:r>
      <w:r w:rsidR="00176BE9" w:rsidRPr="00176BE9">
        <w:rPr>
          <w:sz w:val="24"/>
          <w:szCs w:val="24"/>
        </w:rPr>
        <w:t xml:space="preserve"> in D Fox and S Green (eds), </w:t>
      </w:r>
      <w:r w:rsidR="00176BE9" w:rsidRPr="00176BE9">
        <w:rPr>
          <w:i/>
          <w:iCs/>
          <w:sz w:val="24"/>
          <w:szCs w:val="24"/>
        </w:rPr>
        <w:t>Cryptocurrencies in Public and Private Law</w:t>
      </w:r>
      <w:r w:rsidR="00176BE9">
        <w:rPr>
          <w:sz w:val="24"/>
          <w:szCs w:val="24"/>
        </w:rPr>
        <w:t xml:space="preserve"> (2019)</w:t>
      </w:r>
      <w:r w:rsidR="00176BE9" w:rsidRPr="00176BE9">
        <w:rPr>
          <w:sz w:val="24"/>
          <w:szCs w:val="24"/>
        </w:rPr>
        <w:t xml:space="preserve">, </w:t>
      </w:r>
      <w:proofErr w:type="spellStart"/>
      <w:r w:rsidR="00176BE9" w:rsidRPr="00176BE9">
        <w:rPr>
          <w:sz w:val="24"/>
          <w:szCs w:val="24"/>
        </w:rPr>
        <w:t>ch</w:t>
      </w:r>
      <w:proofErr w:type="spellEnd"/>
      <w:r w:rsidR="00176BE9" w:rsidRPr="00176BE9">
        <w:rPr>
          <w:sz w:val="24"/>
          <w:szCs w:val="24"/>
        </w:rPr>
        <w:t xml:space="preserve"> 5</w:t>
      </w:r>
      <w:r w:rsidR="00194A41">
        <w:rPr>
          <w:sz w:val="24"/>
          <w:szCs w:val="24"/>
        </w:rPr>
        <w:t xml:space="preserve">; and A Held, A MacPherson and B </w:t>
      </w:r>
      <w:r w:rsidR="00194A41" w:rsidRPr="00A06010">
        <w:rPr>
          <w:sz w:val="24"/>
          <w:szCs w:val="24"/>
        </w:rPr>
        <w:t>Yüksel Ripley</w:t>
      </w:r>
      <w:r w:rsidR="00194A41">
        <w:rPr>
          <w:sz w:val="24"/>
          <w:szCs w:val="24"/>
        </w:rPr>
        <w:t xml:space="preserve">, </w:t>
      </w:r>
      <w:r w:rsidR="00194A41" w:rsidRPr="00A06010">
        <w:rPr>
          <w:i/>
          <w:iCs/>
          <w:sz w:val="24"/>
          <w:szCs w:val="24"/>
        </w:rPr>
        <w:t>United Kingdom (UK) Report on Cryptocurrencies: With a Focus on the Law of England and Wales and the Law of Scotland</w:t>
      </w:r>
      <w:r w:rsidR="00033C2B">
        <w:rPr>
          <w:sz w:val="24"/>
          <w:szCs w:val="24"/>
        </w:rPr>
        <w:t xml:space="preserve"> (see above),</w:t>
      </w:r>
      <w:r w:rsidR="009C3BC4">
        <w:rPr>
          <w:sz w:val="24"/>
          <w:szCs w:val="24"/>
        </w:rPr>
        <w:t xml:space="preserve"> p 47 onwards. </w:t>
      </w:r>
      <w:r w:rsidR="00033C2B">
        <w:rPr>
          <w:sz w:val="24"/>
          <w:szCs w:val="24"/>
        </w:rPr>
        <w:t xml:space="preserve">It may also be useful to refer to </w:t>
      </w:r>
      <w:r w:rsidR="002759B6">
        <w:rPr>
          <w:sz w:val="24"/>
          <w:szCs w:val="24"/>
        </w:rPr>
        <w:t xml:space="preserve">the </w:t>
      </w:r>
      <w:r w:rsidR="002759B6" w:rsidRPr="00033C2B">
        <w:rPr>
          <w:i/>
          <w:iCs/>
          <w:sz w:val="24"/>
          <w:szCs w:val="24"/>
        </w:rPr>
        <w:t>UNIDROIT Principles on Digital Assets</w:t>
      </w:r>
      <w:r w:rsidR="00033C2B">
        <w:rPr>
          <w:sz w:val="24"/>
          <w:szCs w:val="24"/>
        </w:rPr>
        <w:t xml:space="preserve"> (2023).</w:t>
      </w:r>
    </w:p>
    <w:p w14:paraId="19F1DC01" w14:textId="77777777" w:rsidR="006E67A1" w:rsidRDefault="006E67A1" w:rsidP="00694C66">
      <w:pPr>
        <w:spacing w:after="0"/>
        <w:jc w:val="both"/>
        <w:rPr>
          <w:sz w:val="24"/>
          <w:szCs w:val="24"/>
        </w:rPr>
      </w:pPr>
    </w:p>
    <w:p w14:paraId="6D3C6E49" w14:textId="0B20CAE9" w:rsidR="006E67A1" w:rsidRPr="006E67A1" w:rsidRDefault="006E67A1" w:rsidP="006E67A1">
      <w:pPr>
        <w:pStyle w:val="ListParagraph"/>
        <w:numPr>
          <w:ilvl w:val="0"/>
          <w:numId w:val="2"/>
        </w:numPr>
        <w:spacing w:after="0"/>
        <w:jc w:val="both"/>
        <w:rPr>
          <w:b/>
          <w:bCs/>
          <w:sz w:val="24"/>
          <w:szCs w:val="24"/>
        </w:rPr>
      </w:pPr>
      <w:r w:rsidRPr="006E67A1">
        <w:rPr>
          <w:b/>
          <w:bCs/>
          <w:sz w:val="24"/>
          <w:szCs w:val="24"/>
        </w:rPr>
        <w:t>Is a claim to digital assets held by a company or bankrupt capable of being a claim to recover property? If so, what factors determine whether it is to be so characterised.</w:t>
      </w:r>
    </w:p>
    <w:p w14:paraId="7BF4E6BD" w14:textId="77777777" w:rsidR="006E67A1" w:rsidRDefault="006E67A1" w:rsidP="00694C66">
      <w:pPr>
        <w:spacing w:after="0"/>
        <w:jc w:val="both"/>
        <w:rPr>
          <w:sz w:val="24"/>
          <w:szCs w:val="24"/>
        </w:rPr>
      </w:pPr>
    </w:p>
    <w:p w14:paraId="52E9E43C" w14:textId="34FE564B" w:rsidR="006E67A1" w:rsidRDefault="00AD2C12" w:rsidP="00694C66">
      <w:pPr>
        <w:spacing w:after="0"/>
        <w:jc w:val="both"/>
        <w:rPr>
          <w:sz w:val="24"/>
          <w:szCs w:val="24"/>
        </w:rPr>
      </w:pPr>
      <w:r>
        <w:rPr>
          <w:sz w:val="24"/>
          <w:szCs w:val="24"/>
        </w:rPr>
        <w:t xml:space="preserve">If digital assets are </w:t>
      </w:r>
      <w:r w:rsidR="00F242E6">
        <w:rPr>
          <w:sz w:val="24"/>
          <w:szCs w:val="24"/>
        </w:rPr>
        <w:t>recognised as property objects, then a claim to digital assets held by a company or bankrupt</w:t>
      </w:r>
      <w:r w:rsidR="00B7653B">
        <w:rPr>
          <w:sz w:val="24"/>
          <w:szCs w:val="24"/>
        </w:rPr>
        <w:t xml:space="preserve"> should be considered a claim </w:t>
      </w:r>
      <w:r w:rsidR="0051254F">
        <w:rPr>
          <w:sz w:val="24"/>
          <w:szCs w:val="24"/>
        </w:rPr>
        <w:t>to recover property in the same way as for other property objects.</w:t>
      </w:r>
    </w:p>
    <w:p w14:paraId="1DD8FC85" w14:textId="77777777" w:rsidR="00CE230D" w:rsidRDefault="00CE230D" w:rsidP="00694C66">
      <w:pPr>
        <w:spacing w:after="0"/>
        <w:jc w:val="both"/>
        <w:rPr>
          <w:sz w:val="24"/>
          <w:szCs w:val="24"/>
        </w:rPr>
      </w:pPr>
    </w:p>
    <w:p w14:paraId="757779BB" w14:textId="404C0A6C" w:rsidR="00CE230D" w:rsidRPr="00CE230D" w:rsidRDefault="00CE230D" w:rsidP="00CE230D">
      <w:pPr>
        <w:pStyle w:val="ListParagraph"/>
        <w:numPr>
          <w:ilvl w:val="0"/>
          <w:numId w:val="2"/>
        </w:numPr>
        <w:spacing w:after="0"/>
        <w:jc w:val="both"/>
        <w:rPr>
          <w:b/>
          <w:bCs/>
          <w:sz w:val="24"/>
          <w:szCs w:val="24"/>
        </w:rPr>
      </w:pPr>
      <w:r w:rsidRPr="00CE230D">
        <w:rPr>
          <w:b/>
          <w:bCs/>
          <w:sz w:val="24"/>
          <w:szCs w:val="24"/>
        </w:rPr>
        <w:t xml:space="preserve">If a claim to digital assets held by a company or bankrupt is a monetary claim, is it a claim for a liquidated sum </w:t>
      </w:r>
      <w:proofErr w:type="gramStart"/>
      <w:r w:rsidRPr="00CE230D">
        <w:rPr>
          <w:b/>
          <w:bCs/>
          <w:sz w:val="24"/>
          <w:szCs w:val="24"/>
        </w:rPr>
        <w:t>so as to</w:t>
      </w:r>
      <w:proofErr w:type="gramEnd"/>
      <w:r w:rsidRPr="00CE230D">
        <w:rPr>
          <w:b/>
          <w:bCs/>
          <w:sz w:val="24"/>
          <w:szCs w:val="24"/>
        </w:rPr>
        <w:t xml:space="preserve"> be capable of founding a statutory demand/winding up petition? Is it a claim in a “foreign currency” such that it should be converted to the currency of the insolvency on day one?</w:t>
      </w:r>
    </w:p>
    <w:p w14:paraId="72512405" w14:textId="1A73A06A" w:rsidR="00CE230D" w:rsidRDefault="00CE230D" w:rsidP="00CE230D">
      <w:pPr>
        <w:spacing w:after="0"/>
        <w:jc w:val="both"/>
        <w:rPr>
          <w:sz w:val="24"/>
          <w:szCs w:val="24"/>
        </w:rPr>
      </w:pPr>
    </w:p>
    <w:p w14:paraId="286003B5" w14:textId="39D1C6FB" w:rsidR="00CE230D" w:rsidRPr="00CE230D" w:rsidRDefault="007B44C4" w:rsidP="00411F2E">
      <w:pPr>
        <w:spacing w:after="0"/>
        <w:jc w:val="both"/>
        <w:rPr>
          <w:sz w:val="24"/>
          <w:szCs w:val="24"/>
        </w:rPr>
      </w:pPr>
      <w:r>
        <w:rPr>
          <w:sz w:val="24"/>
          <w:szCs w:val="24"/>
        </w:rPr>
        <w:t xml:space="preserve">We do not consider a claim to digital assets held by a company </w:t>
      </w:r>
      <w:r w:rsidR="006C0C98">
        <w:rPr>
          <w:sz w:val="24"/>
          <w:szCs w:val="24"/>
        </w:rPr>
        <w:t xml:space="preserve">or bankrupt to ordinarily be a monetary claim. Digital assets </w:t>
      </w:r>
      <w:r w:rsidR="00AA19F8">
        <w:rPr>
          <w:sz w:val="24"/>
          <w:szCs w:val="24"/>
        </w:rPr>
        <w:t xml:space="preserve">are generally non-monetary units and </w:t>
      </w:r>
      <w:r w:rsidR="004A0266">
        <w:rPr>
          <w:sz w:val="24"/>
          <w:szCs w:val="24"/>
        </w:rPr>
        <w:t xml:space="preserve">a </w:t>
      </w:r>
      <w:r w:rsidR="004C2A63">
        <w:rPr>
          <w:sz w:val="24"/>
          <w:szCs w:val="24"/>
        </w:rPr>
        <w:t>claim to such property</w:t>
      </w:r>
      <w:r w:rsidR="001C16EB">
        <w:rPr>
          <w:sz w:val="24"/>
          <w:szCs w:val="24"/>
        </w:rPr>
        <w:t xml:space="preserve"> should be considered </w:t>
      </w:r>
      <w:r w:rsidR="004C2A63">
        <w:rPr>
          <w:sz w:val="24"/>
          <w:szCs w:val="24"/>
        </w:rPr>
        <w:t xml:space="preserve">to </w:t>
      </w:r>
      <w:r w:rsidR="004A0266">
        <w:rPr>
          <w:sz w:val="24"/>
          <w:szCs w:val="24"/>
        </w:rPr>
        <w:t xml:space="preserve">give rise to </w:t>
      </w:r>
      <w:r w:rsidR="001C16EB">
        <w:rPr>
          <w:sz w:val="24"/>
          <w:szCs w:val="24"/>
        </w:rPr>
        <w:t>a claim for unliquidated damages</w:t>
      </w:r>
      <w:r w:rsidR="00B73ADD">
        <w:rPr>
          <w:sz w:val="24"/>
          <w:szCs w:val="24"/>
        </w:rPr>
        <w:t xml:space="preserve">. We also do not think that such a claim </w:t>
      </w:r>
      <w:r w:rsidR="004A0266">
        <w:rPr>
          <w:sz w:val="24"/>
          <w:szCs w:val="24"/>
        </w:rPr>
        <w:t xml:space="preserve">is a </w:t>
      </w:r>
      <w:r w:rsidR="00411F2E">
        <w:rPr>
          <w:sz w:val="24"/>
          <w:szCs w:val="24"/>
        </w:rPr>
        <w:t xml:space="preserve">foreign currency </w:t>
      </w:r>
      <w:r w:rsidR="004A0266">
        <w:rPr>
          <w:sz w:val="24"/>
          <w:szCs w:val="24"/>
        </w:rPr>
        <w:t>claim</w:t>
      </w:r>
      <w:r w:rsidR="00FF307F">
        <w:rPr>
          <w:sz w:val="24"/>
          <w:szCs w:val="24"/>
        </w:rPr>
        <w:t xml:space="preserve">, albeit that the position could change for certain digital assets, </w:t>
      </w:r>
      <w:r w:rsidR="00B26ED6">
        <w:rPr>
          <w:sz w:val="24"/>
          <w:szCs w:val="24"/>
        </w:rPr>
        <w:t>such as central bank digital currencies</w:t>
      </w:r>
      <w:r w:rsidR="00411F2E">
        <w:rPr>
          <w:sz w:val="24"/>
          <w:szCs w:val="24"/>
        </w:rPr>
        <w:t>.</w:t>
      </w:r>
      <w:r w:rsidR="00FF307F">
        <w:rPr>
          <w:sz w:val="24"/>
          <w:szCs w:val="24"/>
        </w:rPr>
        <w:t xml:space="preserve"> More broadly in relation to the questions in the annex, </w:t>
      </w:r>
      <w:r w:rsidR="00E14747">
        <w:rPr>
          <w:sz w:val="24"/>
          <w:szCs w:val="24"/>
        </w:rPr>
        <w:t>respondents may wish to draw distinctions between the treatment of different types of digital assets. It may therefore be worthwhile to consider whether the questions in their current form will sufficiently allow respondents the opportunity to make such a point.</w:t>
      </w:r>
    </w:p>
    <w:p w14:paraId="4AA4DE3C" w14:textId="77BEF46D" w:rsidR="00BC276B" w:rsidRDefault="00BC276B" w:rsidP="00CE230D">
      <w:pPr>
        <w:spacing w:after="0"/>
        <w:jc w:val="both"/>
        <w:rPr>
          <w:sz w:val="24"/>
          <w:szCs w:val="24"/>
        </w:rPr>
      </w:pPr>
    </w:p>
    <w:p w14:paraId="6E21675A" w14:textId="2007E92D" w:rsidR="0019359F" w:rsidRPr="00671A80" w:rsidRDefault="0019359F" w:rsidP="0019359F">
      <w:pPr>
        <w:pStyle w:val="ListParagraph"/>
        <w:numPr>
          <w:ilvl w:val="0"/>
          <w:numId w:val="2"/>
        </w:numPr>
        <w:spacing w:after="0"/>
        <w:jc w:val="both"/>
        <w:rPr>
          <w:b/>
          <w:bCs/>
          <w:sz w:val="24"/>
          <w:szCs w:val="24"/>
        </w:rPr>
      </w:pPr>
      <w:r w:rsidRPr="00671A80">
        <w:rPr>
          <w:b/>
          <w:bCs/>
          <w:sz w:val="24"/>
          <w:szCs w:val="24"/>
        </w:rPr>
        <w:t>Are office-holders subject, generally, to any obligations in relation to holding/realisation of volatile digital assets in an English insolvency?</w:t>
      </w:r>
    </w:p>
    <w:p w14:paraId="4EE4001D" w14:textId="77777777" w:rsidR="00EA60CC" w:rsidRDefault="00EA60CC" w:rsidP="006C4A12">
      <w:pPr>
        <w:spacing w:after="0"/>
        <w:jc w:val="both"/>
        <w:rPr>
          <w:sz w:val="24"/>
          <w:szCs w:val="24"/>
        </w:rPr>
      </w:pPr>
    </w:p>
    <w:p w14:paraId="55CA0EE0" w14:textId="562B0E22" w:rsidR="00EA60CC" w:rsidRPr="006C4A12" w:rsidRDefault="008F6519" w:rsidP="006C4A12">
      <w:pPr>
        <w:spacing w:after="0"/>
        <w:jc w:val="both"/>
        <w:rPr>
          <w:sz w:val="24"/>
          <w:szCs w:val="24"/>
        </w:rPr>
      </w:pPr>
      <w:r w:rsidRPr="006C4A12">
        <w:rPr>
          <w:sz w:val="24"/>
          <w:szCs w:val="24"/>
        </w:rPr>
        <w:t xml:space="preserve">The rules should be the same as for </w:t>
      </w:r>
      <w:r w:rsidR="00950EA3" w:rsidRPr="006C4A12">
        <w:rPr>
          <w:sz w:val="24"/>
          <w:szCs w:val="24"/>
        </w:rPr>
        <w:t>other assets, which can also be volatile in</w:t>
      </w:r>
      <w:r w:rsidR="006C4A12">
        <w:rPr>
          <w:sz w:val="24"/>
          <w:szCs w:val="24"/>
        </w:rPr>
        <w:t xml:space="preserve"> terms of value</w:t>
      </w:r>
      <w:r w:rsidR="00950EA3" w:rsidRPr="006C4A12">
        <w:rPr>
          <w:sz w:val="24"/>
          <w:szCs w:val="24"/>
        </w:rPr>
        <w:t xml:space="preserve"> </w:t>
      </w:r>
      <w:proofErr w:type="gramStart"/>
      <w:r w:rsidR="00950EA3" w:rsidRPr="006C4A12">
        <w:rPr>
          <w:sz w:val="24"/>
          <w:szCs w:val="24"/>
        </w:rPr>
        <w:t>e.g.</w:t>
      </w:r>
      <w:proofErr w:type="gramEnd"/>
      <w:r w:rsidR="00950EA3" w:rsidRPr="006C4A12">
        <w:rPr>
          <w:sz w:val="24"/>
          <w:szCs w:val="24"/>
        </w:rPr>
        <w:t xml:space="preserve"> shares. </w:t>
      </w:r>
      <w:r w:rsidR="00582B59">
        <w:rPr>
          <w:sz w:val="24"/>
          <w:szCs w:val="24"/>
        </w:rPr>
        <w:t xml:space="preserve">While </w:t>
      </w:r>
      <w:proofErr w:type="gramStart"/>
      <w:r w:rsidR="00582B59">
        <w:rPr>
          <w:sz w:val="24"/>
          <w:szCs w:val="24"/>
        </w:rPr>
        <w:t>o</w:t>
      </w:r>
      <w:r w:rsidR="00EE5FF6">
        <w:rPr>
          <w:sz w:val="24"/>
          <w:szCs w:val="24"/>
        </w:rPr>
        <w:t>ffice-holders</w:t>
      </w:r>
      <w:proofErr w:type="gramEnd"/>
      <w:r w:rsidR="00EE5FF6">
        <w:rPr>
          <w:sz w:val="24"/>
          <w:szCs w:val="24"/>
        </w:rPr>
        <w:t xml:space="preserve"> </w:t>
      </w:r>
      <w:r w:rsidR="00582B59">
        <w:rPr>
          <w:sz w:val="24"/>
          <w:szCs w:val="24"/>
        </w:rPr>
        <w:t xml:space="preserve">have to </w:t>
      </w:r>
      <w:r w:rsidR="006B3D18">
        <w:rPr>
          <w:sz w:val="24"/>
          <w:szCs w:val="24"/>
        </w:rPr>
        <w:t xml:space="preserve">take reasonable steps to </w:t>
      </w:r>
      <w:r w:rsidR="00582B59">
        <w:rPr>
          <w:sz w:val="24"/>
          <w:szCs w:val="24"/>
        </w:rPr>
        <w:t xml:space="preserve">maximise the value </w:t>
      </w:r>
      <w:r w:rsidR="00035EC9">
        <w:rPr>
          <w:sz w:val="24"/>
          <w:szCs w:val="24"/>
        </w:rPr>
        <w:t>of the estate when realising assets</w:t>
      </w:r>
      <w:r w:rsidR="00FB3CC1">
        <w:rPr>
          <w:sz w:val="24"/>
          <w:szCs w:val="24"/>
        </w:rPr>
        <w:t xml:space="preserve">, they </w:t>
      </w:r>
      <w:r w:rsidR="00582B59">
        <w:rPr>
          <w:sz w:val="24"/>
          <w:szCs w:val="24"/>
        </w:rPr>
        <w:t xml:space="preserve">ordinarily have discretion </w:t>
      </w:r>
      <w:r w:rsidR="00FB3CC1">
        <w:rPr>
          <w:sz w:val="24"/>
          <w:szCs w:val="24"/>
        </w:rPr>
        <w:t>as to when precisely they realise assets</w:t>
      </w:r>
      <w:r w:rsidR="003E4A02">
        <w:rPr>
          <w:sz w:val="24"/>
          <w:szCs w:val="24"/>
        </w:rPr>
        <w:t xml:space="preserve"> (assuming they have</w:t>
      </w:r>
      <w:r w:rsidR="00541853">
        <w:rPr>
          <w:sz w:val="24"/>
          <w:szCs w:val="24"/>
        </w:rPr>
        <w:t xml:space="preserve"> acted in good faith and</w:t>
      </w:r>
      <w:r w:rsidR="003E4A02">
        <w:rPr>
          <w:sz w:val="24"/>
          <w:szCs w:val="24"/>
        </w:rPr>
        <w:t xml:space="preserve"> in a</w:t>
      </w:r>
      <w:r w:rsidR="000931AE">
        <w:rPr>
          <w:sz w:val="24"/>
          <w:szCs w:val="24"/>
        </w:rPr>
        <w:t xml:space="preserve"> </w:t>
      </w:r>
      <w:r w:rsidR="00076A01">
        <w:rPr>
          <w:sz w:val="24"/>
          <w:szCs w:val="24"/>
        </w:rPr>
        <w:t xml:space="preserve">reasonably competent </w:t>
      </w:r>
      <w:r w:rsidR="003E4A02">
        <w:rPr>
          <w:sz w:val="24"/>
          <w:szCs w:val="24"/>
        </w:rPr>
        <w:t>manner)</w:t>
      </w:r>
      <w:r w:rsidR="00FB3CC1">
        <w:rPr>
          <w:sz w:val="24"/>
          <w:szCs w:val="24"/>
        </w:rPr>
        <w:t>.</w:t>
      </w:r>
      <w:r w:rsidR="007A5692">
        <w:rPr>
          <w:sz w:val="24"/>
          <w:szCs w:val="24"/>
        </w:rPr>
        <w:t xml:space="preserve"> Reference can be made to case law in this area, such </w:t>
      </w:r>
      <w:r w:rsidR="008158B3">
        <w:rPr>
          <w:sz w:val="24"/>
          <w:szCs w:val="24"/>
        </w:rPr>
        <w:t xml:space="preserve">as </w:t>
      </w:r>
      <w:r w:rsidR="00784467">
        <w:rPr>
          <w:i/>
          <w:iCs/>
          <w:sz w:val="24"/>
          <w:szCs w:val="24"/>
        </w:rPr>
        <w:t xml:space="preserve">Medforth v </w:t>
      </w:r>
      <w:r w:rsidR="00784467" w:rsidRPr="00784467">
        <w:rPr>
          <w:i/>
          <w:iCs/>
          <w:sz w:val="24"/>
          <w:szCs w:val="24"/>
        </w:rPr>
        <w:t>Blake</w:t>
      </w:r>
      <w:r w:rsidR="00784467">
        <w:rPr>
          <w:i/>
          <w:iCs/>
          <w:sz w:val="24"/>
          <w:szCs w:val="24"/>
        </w:rPr>
        <w:t xml:space="preserve"> </w:t>
      </w:r>
      <w:r w:rsidR="007B29D6">
        <w:rPr>
          <w:sz w:val="24"/>
          <w:szCs w:val="24"/>
        </w:rPr>
        <w:t>[2000] Ch 86.</w:t>
      </w:r>
      <w:r w:rsidR="00784467">
        <w:rPr>
          <w:sz w:val="24"/>
          <w:szCs w:val="24"/>
        </w:rPr>
        <w:t xml:space="preserve"> </w:t>
      </w:r>
      <w:r w:rsidR="00E430AE">
        <w:rPr>
          <w:sz w:val="24"/>
          <w:szCs w:val="24"/>
        </w:rPr>
        <w:t>If</w:t>
      </w:r>
      <w:r w:rsidR="00EA60CC">
        <w:rPr>
          <w:sz w:val="24"/>
          <w:szCs w:val="24"/>
        </w:rPr>
        <w:t xml:space="preserve"> this question </w:t>
      </w:r>
      <w:r w:rsidR="00E430AE">
        <w:rPr>
          <w:sz w:val="24"/>
          <w:szCs w:val="24"/>
        </w:rPr>
        <w:t xml:space="preserve">were to be extended to ask whether </w:t>
      </w:r>
      <w:proofErr w:type="gramStart"/>
      <w:r w:rsidR="00E430AE">
        <w:rPr>
          <w:sz w:val="24"/>
          <w:szCs w:val="24"/>
        </w:rPr>
        <w:t>office-holders</w:t>
      </w:r>
      <w:proofErr w:type="gramEnd"/>
      <w:r w:rsidR="00E430AE">
        <w:rPr>
          <w:sz w:val="24"/>
          <w:szCs w:val="24"/>
        </w:rPr>
        <w:t xml:space="preserve"> should be subject to </w:t>
      </w:r>
      <w:r w:rsidR="0027225E">
        <w:rPr>
          <w:sz w:val="24"/>
          <w:szCs w:val="24"/>
        </w:rPr>
        <w:t>distinct rules</w:t>
      </w:r>
      <w:r w:rsidR="00E430AE">
        <w:rPr>
          <w:sz w:val="24"/>
          <w:szCs w:val="24"/>
        </w:rPr>
        <w:t>, f</w:t>
      </w:r>
      <w:r w:rsidR="003E4A02" w:rsidRPr="00784467">
        <w:rPr>
          <w:sz w:val="24"/>
          <w:szCs w:val="24"/>
        </w:rPr>
        <w:t>ormulating</w:t>
      </w:r>
      <w:r w:rsidR="003E4A02">
        <w:rPr>
          <w:sz w:val="24"/>
          <w:szCs w:val="24"/>
        </w:rPr>
        <w:t xml:space="preserve"> </w:t>
      </w:r>
      <w:r w:rsidR="000931AE">
        <w:rPr>
          <w:sz w:val="24"/>
          <w:szCs w:val="24"/>
        </w:rPr>
        <w:t xml:space="preserve">a separate approach for </w:t>
      </w:r>
      <w:r w:rsidR="00150437">
        <w:rPr>
          <w:sz w:val="24"/>
          <w:szCs w:val="24"/>
        </w:rPr>
        <w:t xml:space="preserve">the holding and realisation of digital assets would be </w:t>
      </w:r>
      <w:r w:rsidR="00F91228">
        <w:rPr>
          <w:sz w:val="24"/>
          <w:szCs w:val="24"/>
        </w:rPr>
        <w:t xml:space="preserve">very difficult to devise and create a highly complicated set of rules. </w:t>
      </w:r>
    </w:p>
    <w:p w14:paraId="0A517796" w14:textId="77777777" w:rsidR="00F91C83" w:rsidRPr="0019359F" w:rsidRDefault="00F91C83" w:rsidP="0019359F">
      <w:pPr>
        <w:pStyle w:val="ListParagraph"/>
        <w:spacing w:after="0"/>
        <w:ind w:left="360"/>
        <w:jc w:val="both"/>
        <w:rPr>
          <w:sz w:val="24"/>
          <w:szCs w:val="24"/>
        </w:rPr>
      </w:pPr>
    </w:p>
    <w:p w14:paraId="590A50C8" w14:textId="7A91520A" w:rsidR="00F91C83" w:rsidRPr="00671A80" w:rsidRDefault="00F91C83" w:rsidP="00F91C83">
      <w:pPr>
        <w:pStyle w:val="ListParagraph"/>
        <w:numPr>
          <w:ilvl w:val="0"/>
          <w:numId w:val="2"/>
        </w:numPr>
        <w:spacing w:after="0"/>
        <w:jc w:val="both"/>
        <w:rPr>
          <w:b/>
          <w:bCs/>
          <w:sz w:val="24"/>
          <w:szCs w:val="24"/>
        </w:rPr>
      </w:pPr>
      <w:r w:rsidRPr="00671A80">
        <w:rPr>
          <w:b/>
          <w:bCs/>
          <w:sz w:val="24"/>
          <w:szCs w:val="24"/>
        </w:rPr>
        <w:t>Can you perceive any difficulties in the application of the English insolvency legislation relating</w:t>
      </w:r>
      <w:r w:rsidR="00671A80" w:rsidRPr="00671A80">
        <w:rPr>
          <w:b/>
          <w:bCs/>
          <w:sz w:val="24"/>
          <w:szCs w:val="24"/>
        </w:rPr>
        <w:t xml:space="preserve"> </w:t>
      </w:r>
      <w:r w:rsidRPr="00671A80">
        <w:rPr>
          <w:b/>
          <w:bCs/>
          <w:sz w:val="24"/>
          <w:szCs w:val="24"/>
        </w:rPr>
        <w:t>to avoidance of prior transactions to pre-insolvency dealings with digital assets? If so, what are</w:t>
      </w:r>
      <w:r w:rsidR="00671A80">
        <w:rPr>
          <w:b/>
          <w:bCs/>
          <w:sz w:val="24"/>
          <w:szCs w:val="24"/>
        </w:rPr>
        <w:t xml:space="preserve"> </w:t>
      </w:r>
      <w:r w:rsidRPr="00671A80">
        <w:rPr>
          <w:b/>
          <w:bCs/>
          <w:sz w:val="24"/>
          <w:szCs w:val="24"/>
        </w:rPr>
        <w:t>they?</w:t>
      </w:r>
    </w:p>
    <w:p w14:paraId="56AC0596" w14:textId="77777777" w:rsidR="00F91C83" w:rsidRDefault="00F91C83" w:rsidP="00F91C83">
      <w:pPr>
        <w:pStyle w:val="ListParagraph"/>
        <w:spacing w:after="0"/>
        <w:ind w:left="360"/>
        <w:jc w:val="both"/>
        <w:rPr>
          <w:sz w:val="24"/>
          <w:szCs w:val="24"/>
        </w:rPr>
      </w:pPr>
    </w:p>
    <w:p w14:paraId="0911B022" w14:textId="4C045CDD" w:rsidR="00BC1DDD" w:rsidRPr="003D20CF" w:rsidRDefault="00A848D8" w:rsidP="003D20CF">
      <w:pPr>
        <w:spacing w:after="0"/>
        <w:jc w:val="both"/>
        <w:rPr>
          <w:sz w:val="24"/>
          <w:szCs w:val="24"/>
        </w:rPr>
      </w:pPr>
      <w:r>
        <w:rPr>
          <w:sz w:val="24"/>
          <w:szCs w:val="24"/>
        </w:rPr>
        <w:lastRenderedPageBreak/>
        <w:t xml:space="preserve">There may be </w:t>
      </w:r>
      <w:r w:rsidR="006105CE">
        <w:rPr>
          <w:sz w:val="24"/>
          <w:szCs w:val="24"/>
        </w:rPr>
        <w:t xml:space="preserve">issues </w:t>
      </w:r>
      <w:r w:rsidR="003E4F54">
        <w:rPr>
          <w:sz w:val="24"/>
          <w:szCs w:val="24"/>
        </w:rPr>
        <w:t>ascertaining</w:t>
      </w:r>
      <w:r w:rsidR="006105CE">
        <w:rPr>
          <w:sz w:val="24"/>
          <w:szCs w:val="24"/>
        </w:rPr>
        <w:t xml:space="preserve"> the precise point at which a transfer takes </w:t>
      </w:r>
      <w:proofErr w:type="gramStart"/>
      <w:r w:rsidR="006105CE">
        <w:rPr>
          <w:sz w:val="24"/>
          <w:szCs w:val="24"/>
        </w:rPr>
        <w:t>place, and</w:t>
      </w:r>
      <w:proofErr w:type="gramEnd"/>
      <w:r w:rsidR="006105CE">
        <w:rPr>
          <w:sz w:val="24"/>
          <w:szCs w:val="24"/>
        </w:rPr>
        <w:t xml:space="preserve"> proving that there is an intention to prefer </w:t>
      </w:r>
      <w:r w:rsidR="004021D0">
        <w:rPr>
          <w:sz w:val="24"/>
          <w:szCs w:val="24"/>
        </w:rPr>
        <w:t>a particular party.</w:t>
      </w:r>
      <w:r w:rsidR="00652861">
        <w:rPr>
          <w:sz w:val="24"/>
          <w:szCs w:val="24"/>
        </w:rPr>
        <w:t xml:space="preserve"> </w:t>
      </w:r>
      <w:r w:rsidR="00D21A4E">
        <w:rPr>
          <w:sz w:val="24"/>
          <w:szCs w:val="24"/>
        </w:rPr>
        <w:t xml:space="preserve">The identity of recipients of assets or preferences </w:t>
      </w:r>
      <w:r w:rsidR="00E93BF8">
        <w:rPr>
          <w:sz w:val="24"/>
          <w:szCs w:val="24"/>
        </w:rPr>
        <w:t xml:space="preserve">over assets </w:t>
      </w:r>
      <w:r w:rsidR="00D21A4E">
        <w:rPr>
          <w:sz w:val="24"/>
          <w:szCs w:val="24"/>
        </w:rPr>
        <w:t>may be difficult to determine given the pseudonymous nature of many digital assets sy</w:t>
      </w:r>
      <w:r w:rsidR="00E93BF8">
        <w:rPr>
          <w:sz w:val="24"/>
          <w:szCs w:val="24"/>
        </w:rPr>
        <w:t>stems, and t</w:t>
      </w:r>
      <w:r w:rsidR="00302C62">
        <w:rPr>
          <w:sz w:val="24"/>
          <w:szCs w:val="24"/>
        </w:rPr>
        <w:t>h</w:t>
      </w:r>
      <w:r w:rsidR="00E93BF8">
        <w:rPr>
          <w:sz w:val="24"/>
          <w:szCs w:val="24"/>
        </w:rPr>
        <w:t xml:space="preserve">is may be of </w:t>
      </w:r>
      <w:r w:rsidR="00302C62">
        <w:rPr>
          <w:sz w:val="24"/>
          <w:szCs w:val="24"/>
        </w:rPr>
        <w:t xml:space="preserve">particular </w:t>
      </w:r>
      <w:r w:rsidR="00E93BF8">
        <w:rPr>
          <w:sz w:val="24"/>
          <w:szCs w:val="24"/>
        </w:rPr>
        <w:t xml:space="preserve">significance if the transfer is to </w:t>
      </w:r>
      <w:r w:rsidR="00302C62">
        <w:rPr>
          <w:sz w:val="24"/>
          <w:szCs w:val="24"/>
        </w:rPr>
        <w:t xml:space="preserve">an associate. </w:t>
      </w:r>
      <w:r w:rsidR="004021D0">
        <w:rPr>
          <w:sz w:val="24"/>
          <w:szCs w:val="24"/>
        </w:rPr>
        <w:t>The flexibility that exists in terms of remedies in English law</w:t>
      </w:r>
      <w:r w:rsidR="000075D9">
        <w:rPr>
          <w:sz w:val="24"/>
          <w:szCs w:val="24"/>
        </w:rPr>
        <w:t xml:space="preserve"> </w:t>
      </w:r>
      <w:r w:rsidR="008A4C59">
        <w:rPr>
          <w:sz w:val="24"/>
          <w:szCs w:val="24"/>
        </w:rPr>
        <w:t xml:space="preserve">will allow for various circumstances and factors to be </w:t>
      </w:r>
      <w:proofErr w:type="gramStart"/>
      <w:r w:rsidR="008A4C59">
        <w:rPr>
          <w:sz w:val="24"/>
          <w:szCs w:val="24"/>
        </w:rPr>
        <w:t>taken into account</w:t>
      </w:r>
      <w:proofErr w:type="gramEnd"/>
      <w:r w:rsidR="008A4C59">
        <w:rPr>
          <w:sz w:val="24"/>
          <w:szCs w:val="24"/>
        </w:rPr>
        <w:t>, but giv</w:t>
      </w:r>
      <w:r w:rsidR="00D03B22">
        <w:rPr>
          <w:sz w:val="24"/>
          <w:szCs w:val="24"/>
        </w:rPr>
        <w:t>ing</w:t>
      </w:r>
      <w:r w:rsidR="008A4C59">
        <w:rPr>
          <w:sz w:val="24"/>
          <w:szCs w:val="24"/>
        </w:rPr>
        <w:t xml:space="preserve"> regard to </w:t>
      </w:r>
      <w:r w:rsidR="00D03B22">
        <w:rPr>
          <w:sz w:val="24"/>
          <w:szCs w:val="24"/>
        </w:rPr>
        <w:t xml:space="preserve">the potential complexities of digital assets in terms of remedies could be a challenge. </w:t>
      </w:r>
      <w:r w:rsidR="00302C62">
        <w:rPr>
          <w:sz w:val="24"/>
          <w:szCs w:val="24"/>
        </w:rPr>
        <w:t>(</w:t>
      </w:r>
      <w:r w:rsidR="00D03B22">
        <w:rPr>
          <w:sz w:val="24"/>
          <w:szCs w:val="24"/>
        </w:rPr>
        <w:t>By contrast</w:t>
      </w:r>
      <w:r w:rsidR="005832CD">
        <w:rPr>
          <w:sz w:val="24"/>
          <w:szCs w:val="24"/>
        </w:rPr>
        <w:t>,</w:t>
      </w:r>
      <w:r w:rsidR="00D03B22">
        <w:rPr>
          <w:sz w:val="24"/>
          <w:szCs w:val="24"/>
        </w:rPr>
        <w:t xml:space="preserve"> in Scotland</w:t>
      </w:r>
      <w:r w:rsidR="005832CD">
        <w:rPr>
          <w:sz w:val="24"/>
          <w:szCs w:val="24"/>
        </w:rPr>
        <w:t xml:space="preserve"> </w:t>
      </w:r>
      <w:r w:rsidR="00D03B22">
        <w:rPr>
          <w:sz w:val="24"/>
          <w:szCs w:val="24"/>
        </w:rPr>
        <w:t xml:space="preserve">there is </w:t>
      </w:r>
      <w:r w:rsidR="003E4F54">
        <w:rPr>
          <w:sz w:val="24"/>
          <w:szCs w:val="24"/>
        </w:rPr>
        <w:t xml:space="preserve">less </w:t>
      </w:r>
      <w:r w:rsidR="00D03B22">
        <w:rPr>
          <w:sz w:val="24"/>
          <w:szCs w:val="24"/>
        </w:rPr>
        <w:t xml:space="preserve">flexibility and a </w:t>
      </w:r>
      <w:r w:rsidR="005832CD">
        <w:rPr>
          <w:sz w:val="24"/>
          <w:szCs w:val="24"/>
        </w:rPr>
        <w:t xml:space="preserve">general hierarchy of remedies, which may not sufficiently take account of the complicated circumstances </w:t>
      </w:r>
      <w:r w:rsidR="00652861">
        <w:rPr>
          <w:sz w:val="24"/>
          <w:szCs w:val="24"/>
        </w:rPr>
        <w:t>relating to digital assets</w:t>
      </w:r>
      <w:r w:rsidR="005D235A" w:rsidRPr="003D20CF">
        <w:rPr>
          <w:sz w:val="24"/>
          <w:szCs w:val="24"/>
        </w:rPr>
        <w:t>.</w:t>
      </w:r>
      <w:r w:rsidR="00302C62">
        <w:rPr>
          <w:sz w:val="24"/>
          <w:szCs w:val="24"/>
        </w:rPr>
        <w:t xml:space="preserve">) </w:t>
      </w:r>
      <w:r w:rsidR="007F5D61">
        <w:rPr>
          <w:sz w:val="24"/>
          <w:szCs w:val="24"/>
        </w:rPr>
        <w:t xml:space="preserve">Also, </w:t>
      </w:r>
      <w:r w:rsidR="00D96431">
        <w:rPr>
          <w:sz w:val="24"/>
          <w:szCs w:val="24"/>
        </w:rPr>
        <w:t xml:space="preserve">an </w:t>
      </w:r>
      <w:proofErr w:type="gramStart"/>
      <w:r w:rsidR="00D96431">
        <w:rPr>
          <w:sz w:val="24"/>
          <w:szCs w:val="24"/>
        </w:rPr>
        <w:t>office-holder</w:t>
      </w:r>
      <w:proofErr w:type="gramEnd"/>
      <w:r w:rsidR="00D96431">
        <w:rPr>
          <w:sz w:val="24"/>
          <w:szCs w:val="24"/>
        </w:rPr>
        <w:t xml:space="preserve"> or another creditor </w:t>
      </w:r>
      <w:r w:rsidR="007F5D61">
        <w:rPr>
          <w:sz w:val="24"/>
          <w:szCs w:val="24"/>
        </w:rPr>
        <w:t xml:space="preserve">may be less likely </w:t>
      </w:r>
      <w:r w:rsidR="00D96431">
        <w:rPr>
          <w:sz w:val="24"/>
          <w:szCs w:val="24"/>
        </w:rPr>
        <w:t xml:space="preserve">to be aware of the earlier transfer of </w:t>
      </w:r>
      <w:r w:rsidR="007F5D61">
        <w:rPr>
          <w:sz w:val="24"/>
          <w:szCs w:val="24"/>
        </w:rPr>
        <w:t>digital assets than for other property, and it will probably be m</w:t>
      </w:r>
      <w:r w:rsidR="005D235A" w:rsidRPr="003D20CF">
        <w:rPr>
          <w:sz w:val="24"/>
          <w:szCs w:val="24"/>
        </w:rPr>
        <w:t xml:space="preserve">ore expensive </w:t>
      </w:r>
      <w:r w:rsidR="00BC1DDD" w:rsidRPr="003D20CF">
        <w:rPr>
          <w:sz w:val="24"/>
          <w:szCs w:val="24"/>
        </w:rPr>
        <w:t xml:space="preserve">and complicated to </w:t>
      </w:r>
      <w:r w:rsidR="007F5D61">
        <w:rPr>
          <w:sz w:val="24"/>
          <w:szCs w:val="24"/>
        </w:rPr>
        <w:t xml:space="preserve">successfully </w:t>
      </w:r>
      <w:r w:rsidR="003E4F54">
        <w:rPr>
          <w:sz w:val="24"/>
          <w:szCs w:val="24"/>
        </w:rPr>
        <w:t xml:space="preserve">investigate and </w:t>
      </w:r>
      <w:r w:rsidR="007F5D61">
        <w:rPr>
          <w:sz w:val="24"/>
          <w:szCs w:val="24"/>
        </w:rPr>
        <w:t xml:space="preserve">challenge such a transaction. All of this may dissuade officeholders from seeking to recover such property or at least </w:t>
      </w:r>
      <w:r w:rsidR="007F7C6F">
        <w:rPr>
          <w:sz w:val="24"/>
          <w:szCs w:val="24"/>
        </w:rPr>
        <w:t xml:space="preserve">create </w:t>
      </w:r>
      <w:r w:rsidR="005C22B2">
        <w:rPr>
          <w:sz w:val="24"/>
          <w:szCs w:val="24"/>
        </w:rPr>
        <w:t>difficult dilemmas for them regarding potential action.</w:t>
      </w:r>
    </w:p>
    <w:p w14:paraId="7BF18D84" w14:textId="24F93FCF" w:rsidR="00F91C83" w:rsidRPr="00F91C83" w:rsidRDefault="00BC1DDD" w:rsidP="00F91C83">
      <w:pPr>
        <w:pStyle w:val="ListParagraph"/>
        <w:spacing w:after="0"/>
        <w:ind w:left="360"/>
        <w:jc w:val="both"/>
        <w:rPr>
          <w:sz w:val="24"/>
          <w:szCs w:val="24"/>
        </w:rPr>
      </w:pPr>
      <w:r>
        <w:rPr>
          <w:sz w:val="24"/>
          <w:szCs w:val="24"/>
        </w:rPr>
        <w:t xml:space="preserve"> </w:t>
      </w:r>
    </w:p>
    <w:p w14:paraId="612F001F" w14:textId="72F7D3B5" w:rsidR="00EC4362" w:rsidRPr="00671A80" w:rsidRDefault="00EC4362" w:rsidP="00EC4362">
      <w:pPr>
        <w:pStyle w:val="ListParagraph"/>
        <w:numPr>
          <w:ilvl w:val="0"/>
          <w:numId w:val="2"/>
        </w:numPr>
        <w:spacing w:after="0"/>
        <w:jc w:val="both"/>
        <w:rPr>
          <w:b/>
          <w:bCs/>
          <w:sz w:val="24"/>
          <w:szCs w:val="24"/>
        </w:rPr>
      </w:pPr>
      <w:r w:rsidRPr="00671A80">
        <w:rPr>
          <w:b/>
          <w:bCs/>
          <w:sz w:val="24"/>
          <w:szCs w:val="24"/>
        </w:rPr>
        <w:t>If a claim to digital assets held by a custodian company can be a proprietary claim, what</w:t>
      </w:r>
      <w:r w:rsidR="00671A80">
        <w:rPr>
          <w:b/>
          <w:bCs/>
          <w:sz w:val="24"/>
          <w:szCs w:val="24"/>
        </w:rPr>
        <w:t xml:space="preserve"> </w:t>
      </w:r>
      <w:r w:rsidRPr="00671A80">
        <w:rPr>
          <w:b/>
          <w:bCs/>
          <w:sz w:val="24"/>
          <w:szCs w:val="24"/>
        </w:rPr>
        <w:t>mechanisms are available to deal with mixing of the property of various clients and/or a shortfall in an insolvency of an exchange or custodian?</w:t>
      </w:r>
    </w:p>
    <w:p w14:paraId="6431CDDB" w14:textId="77777777" w:rsidR="0027225E" w:rsidRDefault="0027225E" w:rsidP="0027225E">
      <w:pPr>
        <w:spacing w:after="0"/>
        <w:jc w:val="both"/>
        <w:rPr>
          <w:sz w:val="24"/>
          <w:szCs w:val="24"/>
        </w:rPr>
      </w:pPr>
    </w:p>
    <w:p w14:paraId="369D6967" w14:textId="0A253D18" w:rsidR="0019359F" w:rsidRPr="0027225E" w:rsidRDefault="00D861A9" w:rsidP="0027225E">
      <w:pPr>
        <w:spacing w:after="0"/>
        <w:jc w:val="both"/>
        <w:rPr>
          <w:sz w:val="24"/>
          <w:szCs w:val="24"/>
        </w:rPr>
      </w:pPr>
      <w:r>
        <w:rPr>
          <w:sz w:val="24"/>
          <w:szCs w:val="24"/>
        </w:rPr>
        <w:t xml:space="preserve">It will be important to determine whether </w:t>
      </w:r>
      <w:proofErr w:type="gramStart"/>
      <w:r w:rsidR="00A31DD8">
        <w:rPr>
          <w:sz w:val="24"/>
          <w:szCs w:val="24"/>
        </w:rPr>
        <w:t>particular</w:t>
      </w:r>
      <w:r>
        <w:rPr>
          <w:sz w:val="24"/>
          <w:szCs w:val="24"/>
        </w:rPr>
        <w:t xml:space="preserve"> digital</w:t>
      </w:r>
      <w:proofErr w:type="gramEnd"/>
      <w:r>
        <w:rPr>
          <w:sz w:val="24"/>
          <w:szCs w:val="24"/>
        </w:rPr>
        <w:t xml:space="preserve"> assets can be traced</w:t>
      </w:r>
      <w:r w:rsidR="00A31DD8">
        <w:rPr>
          <w:sz w:val="24"/>
          <w:szCs w:val="24"/>
        </w:rPr>
        <w:t xml:space="preserve"> and who holds them</w:t>
      </w:r>
      <w:r>
        <w:rPr>
          <w:sz w:val="24"/>
          <w:szCs w:val="24"/>
        </w:rPr>
        <w:t xml:space="preserve">, but this may be a </w:t>
      </w:r>
      <w:r w:rsidR="00C92973">
        <w:rPr>
          <w:sz w:val="24"/>
          <w:szCs w:val="24"/>
        </w:rPr>
        <w:t xml:space="preserve">costly process. </w:t>
      </w:r>
      <w:r w:rsidR="00BC28DA">
        <w:rPr>
          <w:sz w:val="24"/>
          <w:szCs w:val="24"/>
        </w:rPr>
        <w:t>More broadly</w:t>
      </w:r>
      <w:r w:rsidR="00C92973">
        <w:rPr>
          <w:sz w:val="24"/>
          <w:szCs w:val="24"/>
        </w:rPr>
        <w:t xml:space="preserve">, an approach consistent with </w:t>
      </w:r>
      <w:r w:rsidR="00BC28DA">
        <w:rPr>
          <w:sz w:val="24"/>
          <w:szCs w:val="24"/>
        </w:rPr>
        <w:t xml:space="preserve">the position for other property in </w:t>
      </w:r>
      <w:r w:rsidR="00A76461">
        <w:rPr>
          <w:sz w:val="24"/>
          <w:szCs w:val="24"/>
        </w:rPr>
        <w:t>equivalent scenarios should be adopted</w:t>
      </w:r>
      <w:r w:rsidR="00202178">
        <w:rPr>
          <w:sz w:val="24"/>
          <w:szCs w:val="24"/>
        </w:rPr>
        <w:t xml:space="preserve">, which could involve </w:t>
      </w:r>
      <w:proofErr w:type="gramStart"/>
      <w:r w:rsidR="00E96E8D">
        <w:rPr>
          <w:sz w:val="24"/>
          <w:szCs w:val="24"/>
        </w:rPr>
        <w:t>e.g.</w:t>
      </w:r>
      <w:proofErr w:type="gramEnd"/>
      <w:r w:rsidR="00E96E8D">
        <w:rPr>
          <w:sz w:val="24"/>
          <w:szCs w:val="24"/>
        </w:rPr>
        <w:t xml:space="preserve"> equal-ranking personal claims or proportional </w:t>
      </w:r>
      <w:r w:rsidR="007828EC">
        <w:rPr>
          <w:sz w:val="24"/>
          <w:szCs w:val="24"/>
        </w:rPr>
        <w:t>proprietary claims for property in a bulk, depending on the circumstances.</w:t>
      </w:r>
      <w:r w:rsidR="00E96E8D">
        <w:rPr>
          <w:sz w:val="24"/>
          <w:szCs w:val="24"/>
        </w:rPr>
        <w:t xml:space="preserve"> </w:t>
      </w:r>
      <w:r w:rsidR="00202178">
        <w:rPr>
          <w:sz w:val="24"/>
          <w:szCs w:val="24"/>
        </w:rPr>
        <w:t xml:space="preserve"> </w:t>
      </w:r>
    </w:p>
    <w:p w14:paraId="16892911" w14:textId="77777777" w:rsidR="0019359F" w:rsidRDefault="0019359F" w:rsidP="00694C66">
      <w:pPr>
        <w:spacing w:after="0"/>
        <w:jc w:val="both"/>
        <w:rPr>
          <w:sz w:val="24"/>
          <w:szCs w:val="24"/>
        </w:rPr>
      </w:pPr>
    </w:p>
    <w:p w14:paraId="6E897B33" w14:textId="322B667A" w:rsidR="005B40D3" w:rsidRPr="00671A80" w:rsidRDefault="003E49FA" w:rsidP="003E49FA">
      <w:pPr>
        <w:pStyle w:val="ListParagraph"/>
        <w:numPr>
          <w:ilvl w:val="0"/>
          <w:numId w:val="2"/>
        </w:numPr>
        <w:spacing w:after="0"/>
        <w:jc w:val="both"/>
        <w:rPr>
          <w:b/>
          <w:bCs/>
          <w:sz w:val="24"/>
          <w:szCs w:val="24"/>
        </w:rPr>
      </w:pPr>
      <w:r w:rsidRPr="00671A80">
        <w:rPr>
          <w:b/>
          <w:bCs/>
          <w:sz w:val="24"/>
          <w:szCs w:val="24"/>
        </w:rPr>
        <w:t xml:space="preserve">What interlocutory, investigatory or enforcement procedures are available to insolvency officeholders under English law, </w:t>
      </w:r>
      <w:proofErr w:type="gramStart"/>
      <w:r w:rsidRPr="00671A80">
        <w:rPr>
          <w:b/>
          <w:bCs/>
          <w:sz w:val="24"/>
          <w:szCs w:val="24"/>
        </w:rPr>
        <w:t>in order to</w:t>
      </w:r>
      <w:proofErr w:type="gramEnd"/>
      <w:r w:rsidRPr="00671A80">
        <w:rPr>
          <w:b/>
          <w:bCs/>
          <w:sz w:val="24"/>
          <w:szCs w:val="24"/>
        </w:rPr>
        <w:t xml:space="preserve"> get in digital assets or their monetary equivalent for the benefit of the insolvent estate?</w:t>
      </w:r>
    </w:p>
    <w:p w14:paraId="2763EF6B" w14:textId="77777777" w:rsidR="0027225E" w:rsidRDefault="0027225E" w:rsidP="0027225E">
      <w:pPr>
        <w:spacing w:after="0"/>
        <w:jc w:val="both"/>
        <w:rPr>
          <w:sz w:val="24"/>
          <w:szCs w:val="24"/>
        </w:rPr>
      </w:pPr>
    </w:p>
    <w:p w14:paraId="37AAE0F4" w14:textId="2EA5EC92" w:rsidR="003E49FA" w:rsidRPr="0027225E" w:rsidRDefault="00F81BE8" w:rsidP="0027225E">
      <w:pPr>
        <w:spacing w:after="0"/>
        <w:jc w:val="both"/>
        <w:rPr>
          <w:sz w:val="24"/>
          <w:szCs w:val="24"/>
        </w:rPr>
      </w:pPr>
      <w:r w:rsidRPr="0027225E">
        <w:rPr>
          <w:sz w:val="24"/>
          <w:szCs w:val="24"/>
        </w:rPr>
        <w:t>The same procedures as for other assets</w:t>
      </w:r>
      <w:r w:rsidR="007828EC">
        <w:rPr>
          <w:sz w:val="24"/>
          <w:szCs w:val="24"/>
        </w:rPr>
        <w:t xml:space="preserve"> sho</w:t>
      </w:r>
      <w:r w:rsidR="00C60021">
        <w:rPr>
          <w:sz w:val="24"/>
          <w:szCs w:val="24"/>
        </w:rPr>
        <w:t xml:space="preserve">uld </w:t>
      </w:r>
      <w:r w:rsidR="00207A1D">
        <w:rPr>
          <w:sz w:val="24"/>
          <w:szCs w:val="24"/>
        </w:rPr>
        <w:t xml:space="preserve">generally </w:t>
      </w:r>
      <w:r w:rsidR="00C60021">
        <w:rPr>
          <w:sz w:val="24"/>
          <w:szCs w:val="24"/>
        </w:rPr>
        <w:t xml:space="preserve">apply here – see </w:t>
      </w:r>
      <w:proofErr w:type="gramStart"/>
      <w:r w:rsidR="00C60021">
        <w:rPr>
          <w:sz w:val="24"/>
          <w:szCs w:val="24"/>
        </w:rPr>
        <w:t>e.g.</w:t>
      </w:r>
      <w:proofErr w:type="gramEnd"/>
      <w:r w:rsidR="00C60021">
        <w:rPr>
          <w:sz w:val="24"/>
          <w:szCs w:val="24"/>
        </w:rPr>
        <w:t xml:space="preserve"> Insolvency Act 1986 s 234 onwards. </w:t>
      </w:r>
      <w:r w:rsidR="007B4A3F">
        <w:rPr>
          <w:sz w:val="24"/>
          <w:szCs w:val="24"/>
        </w:rPr>
        <w:t xml:space="preserve">However, we recognise </w:t>
      </w:r>
      <w:r w:rsidR="00687872">
        <w:rPr>
          <w:sz w:val="24"/>
          <w:szCs w:val="24"/>
        </w:rPr>
        <w:t>that there may be particular practical challenges for such property</w:t>
      </w:r>
      <w:r w:rsidR="00207A1D">
        <w:rPr>
          <w:sz w:val="24"/>
          <w:szCs w:val="24"/>
        </w:rPr>
        <w:t xml:space="preserve">, which could </w:t>
      </w:r>
      <w:r w:rsidR="00B032F9">
        <w:rPr>
          <w:sz w:val="24"/>
          <w:szCs w:val="24"/>
        </w:rPr>
        <w:t>justify some specific provision</w:t>
      </w:r>
      <w:r w:rsidR="00F3568A">
        <w:rPr>
          <w:sz w:val="24"/>
          <w:szCs w:val="24"/>
        </w:rPr>
        <w:t>, but this should be kept to a minimum</w:t>
      </w:r>
      <w:r w:rsidR="00B032F9">
        <w:rPr>
          <w:sz w:val="24"/>
          <w:szCs w:val="24"/>
        </w:rPr>
        <w:t>.</w:t>
      </w:r>
    </w:p>
    <w:p w14:paraId="0E6839CA" w14:textId="77777777" w:rsidR="005B40D3" w:rsidRDefault="005B40D3" w:rsidP="00694C66">
      <w:pPr>
        <w:spacing w:after="0"/>
        <w:jc w:val="both"/>
        <w:rPr>
          <w:sz w:val="24"/>
          <w:szCs w:val="24"/>
        </w:rPr>
      </w:pPr>
    </w:p>
    <w:p w14:paraId="3D5BD8C6" w14:textId="10FFC77D" w:rsidR="007810E2" w:rsidRDefault="007810E2" w:rsidP="00694C66">
      <w:pPr>
        <w:spacing w:after="0"/>
        <w:jc w:val="both"/>
        <w:rPr>
          <w:sz w:val="24"/>
          <w:szCs w:val="24"/>
        </w:rPr>
      </w:pPr>
      <w:r>
        <w:rPr>
          <w:sz w:val="24"/>
          <w:szCs w:val="24"/>
        </w:rPr>
        <w:t xml:space="preserve">It may be advisable to have a general question </w:t>
      </w:r>
      <w:r w:rsidR="00207A1D">
        <w:rPr>
          <w:sz w:val="24"/>
          <w:szCs w:val="24"/>
        </w:rPr>
        <w:t xml:space="preserve">in the consultation </w:t>
      </w:r>
      <w:r>
        <w:rPr>
          <w:sz w:val="24"/>
          <w:szCs w:val="24"/>
        </w:rPr>
        <w:t>focused on the extent to which there should be bespoke rules for digital assets or</w:t>
      </w:r>
      <w:r w:rsidR="00CB2FA4">
        <w:rPr>
          <w:sz w:val="24"/>
          <w:szCs w:val="24"/>
        </w:rPr>
        <w:t xml:space="preserve"> their</w:t>
      </w:r>
      <w:r>
        <w:rPr>
          <w:sz w:val="24"/>
          <w:szCs w:val="24"/>
        </w:rPr>
        <w:t xml:space="preserve"> </w:t>
      </w:r>
      <w:r w:rsidR="00CB2FA4">
        <w:rPr>
          <w:sz w:val="24"/>
          <w:szCs w:val="24"/>
        </w:rPr>
        <w:t>incorporation into the rules applicable to property generally</w:t>
      </w:r>
      <w:r w:rsidR="009E7020">
        <w:rPr>
          <w:sz w:val="24"/>
          <w:szCs w:val="24"/>
        </w:rPr>
        <w:t xml:space="preserve"> (or the rules for analogous types of property)</w:t>
      </w:r>
      <w:r w:rsidR="00CB2FA4">
        <w:rPr>
          <w:sz w:val="24"/>
          <w:szCs w:val="24"/>
        </w:rPr>
        <w:t>.</w:t>
      </w:r>
    </w:p>
    <w:p w14:paraId="589B6E1E" w14:textId="77777777" w:rsidR="000C5CD8" w:rsidRPr="00070AA5" w:rsidRDefault="000C5CD8" w:rsidP="00694C66">
      <w:pPr>
        <w:jc w:val="both"/>
        <w:rPr>
          <w:sz w:val="24"/>
          <w:szCs w:val="24"/>
        </w:rPr>
      </w:pPr>
    </w:p>
    <w:sectPr w:rsidR="000C5CD8" w:rsidRPr="00070A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27A2" w14:textId="77777777" w:rsidR="00CF387D" w:rsidRDefault="00CF387D" w:rsidP="00396069">
      <w:pPr>
        <w:spacing w:after="0" w:line="240" w:lineRule="auto"/>
      </w:pPr>
      <w:r>
        <w:separator/>
      </w:r>
    </w:p>
  </w:endnote>
  <w:endnote w:type="continuationSeparator" w:id="0">
    <w:p w14:paraId="7944538D" w14:textId="77777777" w:rsidR="00CF387D" w:rsidRDefault="00CF387D" w:rsidP="0039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27898"/>
      <w:docPartObj>
        <w:docPartGallery w:val="Page Numbers (Bottom of Page)"/>
        <w:docPartUnique/>
      </w:docPartObj>
    </w:sdtPr>
    <w:sdtEndPr>
      <w:rPr>
        <w:noProof/>
      </w:rPr>
    </w:sdtEndPr>
    <w:sdtContent>
      <w:p w14:paraId="3B483B23" w14:textId="14AD7F84" w:rsidR="00396069" w:rsidRDefault="00396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FF8C2" w14:textId="77777777" w:rsidR="00396069" w:rsidRDefault="00396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E909" w14:textId="77777777" w:rsidR="00CF387D" w:rsidRDefault="00CF387D" w:rsidP="00396069">
      <w:pPr>
        <w:spacing w:after="0" w:line="240" w:lineRule="auto"/>
      </w:pPr>
      <w:r>
        <w:separator/>
      </w:r>
    </w:p>
  </w:footnote>
  <w:footnote w:type="continuationSeparator" w:id="0">
    <w:p w14:paraId="60228536" w14:textId="77777777" w:rsidR="00CF387D" w:rsidRDefault="00CF387D" w:rsidP="0039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07E0"/>
    <w:multiLevelType w:val="hybridMultilevel"/>
    <w:tmpl w:val="12B88E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4EF7"/>
    <w:multiLevelType w:val="hybridMultilevel"/>
    <w:tmpl w:val="5AD2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082883">
    <w:abstractNumId w:val="1"/>
  </w:num>
  <w:num w:numId="2" w16cid:durableId="117630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pDHZRfIObz3LMDDwN+a6/a/JDxA6rFcZFj9xj4LapzSZEbCTWVyfTLqCkE9+JqWc/ruseoRbQZQRJehMAuFe1A==" w:salt="edKJYmzcXeyn26jA4IiM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8"/>
    <w:rsid w:val="000075D9"/>
    <w:rsid w:val="00007878"/>
    <w:rsid w:val="0002363D"/>
    <w:rsid w:val="00033C2B"/>
    <w:rsid w:val="00035EC9"/>
    <w:rsid w:val="00062B8D"/>
    <w:rsid w:val="00070AA5"/>
    <w:rsid w:val="00076A01"/>
    <w:rsid w:val="00092EAE"/>
    <w:rsid w:val="000931AE"/>
    <w:rsid w:val="000C5CD8"/>
    <w:rsid w:val="000E1CA0"/>
    <w:rsid w:val="000E2DE0"/>
    <w:rsid w:val="000F1BB9"/>
    <w:rsid w:val="00141598"/>
    <w:rsid w:val="00150437"/>
    <w:rsid w:val="00160466"/>
    <w:rsid w:val="00176BE9"/>
    <w:rsid w:val="0019359F"/>
    <w:rsid w:val="001943EE"/>
    <w:rsid w:val="00194A41"/>
    <w:rsid w:val="001B2667"/>
    <w:rsid w:val="001C16EB"/>
    <w:rsid w:val="001C78C1"/>
    <w:rsid w:val="001D3606"/>
    <w:rsid w:val="001F756C"/>
    <w:rsid w:val="00202178"/>
    <w:rsid w:val="00207A1D"/>
    <w:rsid w:val="0021358D"/>
    <w:rsid w:val="00215811"/>
    <w:rsid w:val="00223845"/>
    <w:rsid w:val="002369F5"/>
    <w:rsid w:val="00240C11"/>
    <w:rsid w:val="0027225E"/>
    <w:rsid w:val="002759B6"/>
    <w:rsid w:val="002B4A57"/>
    <w:rsid w:val="002D0E31"/>
    <w:rsid w:val="002E1C6C"/>
    <w:rsid w:val="002E3536"/>
    <w:rsid w:val="00302C62"/>
    <w:rsid w:val="00334048"/>
    <w:rsid w:val="00343ED7"/>
    <w:rsid w:val="00350A66"/>
    <w:rsid w:val="00396069"/>
    <w:rsid w:val="003B3E1B"/>
    <w:rsid w:val="003D20CF"/>
    <w:rsid w:val="003E49FA"/>
    <w:rsid w:val="003E4A02"/>
    <w:rsid w:val="003E4F54"/>
    <w:rsid w:val="00401045"/>
    <w:rsid w:val="004021D0"/>
    <w:rsid w:val="00411F2E"/>
    <w:rsid w:val="00471526"/>
    <w:rsid w:val="004A0266"/>
    <w:rsid w:val="004C2A63"/>
    <w:rsid w:val="004D23A7"/>
    <w:rsid w:val="004E50E5"/>
    <w:rsid w:val="00511DC3"/>
    <w:rsid w:val="00512449"/>
    <w:rsid w:val="0051254F"/>
    <w:rsid w:val="00541853"/>
    <w:rsid w:val="00565397"/>
    <w:rsid w:val="00567927"/>
    <w:rsid w:val="00582B59"/>
    <w:rsid w:val="005832CD"/>
    <w:rsid w:val="0059175D"/>
    <w:rsid w:val="00591E59"/>
    <w:rsid w:val="005B40D3"/>
    <w:rsid w:val="005C22B2"/>
    <w:rsid w:val="005C5335"/>
    <w:rsid w:val="005D235A"/>
    <w:rsid w:val="005D392D"/>
    <w:rsid w:val="005F6C3C"/>
    <w:rsid w:val="006105CE"/>
    <w:rsid w:val="00621421"/>
    <w:rsid w:val="00652861"/>
    <w:rsid w:val="00671A80"/>
    <w:rsid w:val="00675E26"/>
    <w:rsid w:val="00687872"/>
    <w:rsid w:val="00694C66"/>
    <w:rsid w:val="006B3D18"/>
    <w:rsid w:val="006C0C98"/>
    <w:rsid w:val="006C4A12"/>
    <w:rsid w:val="006C5144"/>
    <w:rsid w:val="006E1530"/>
    <w:rsid w:val="006E67A1"/>
    <w:rsid w:val="006F275B"/>
    <w:rsid w:val="006F31B3"/>
    <w:rsid w:val="00714CA1"/>
    <w:rsid w:val="007810E2"/>
    <w:rsid w:val="007828EC"/>
    <w:rsid w:val="00784467"/>
    <w:rsid w:val="00786892"/>
    <w:rsid w:val="007A5692"/>
    <w:rsid w:val="007B29D6"/>
    <w:rsid w:val="007B44C4"/>
    <w:rsid w:val="007B4A3F"/>
    <w:rsid w:val="007C44B6"/>
    <w:rsid w:val="007D450B"/>
    <w:rsid w:val="007F56BA"/>
    <w:rsid w:val="007F5D61"/>
    <w:rsid w:val="007F7C6F"/>
    <w:rsid w:val="008158B3"/>
    <w:rsid w:val="00834A9B"/>
    <w:rsid w:val="00844950"/>
    <w:rsid w:val="0084508C"/>
    <w:rsid w:val="00872819"/>
    <w:rsid w:val="008800B0"/>
    <w:rsid w:val="0089046C"/>
    <w:rsid w:val="008A4C59"/>
    <w:rsid w:val="008B4845"/>
    <w:rsid w:val="008F6519"/>
    <w:rsid w:val="00950EA3"/>
    <w:rsid w:val="00977162"/>
    <w:rsid w:val="009A30D2"/>
    <w:rsid w:val="009B6AE7"/>
    <w:rsid w:val="009C3BC4"/>
    <w:rsid w:val="009E0981"/>
    <w:rsid w:val="009E7020"/>
    <w:rsid w:val="00A01C62"/>
    <w:rsid w:val="00A06010"/>
    <w:rsid w:val="00A3084C"/>
    <w:rsid w:val="00A31404"/>
    <w:rsid w:val="00A31DD8"/>
    <w:rsid w:val="00A34F32"/>
    <w:rsid w:val="00A372C0"/>
    <w:rsid w:val="00A37A14"/>
    <w:rsid w:val="00A76461"/>
    <w:rsid w:val="00A848D8"/>
    <w:rsid w:val="00A958EE"/>
    <w:rsid w:val="00AA19F8"/>
    <w:rsid w:val="00AA548C"/>
    <w:rsid w:val="00AD1F70"/>
    <w:rsid w:val="00AD2C12"/>
    <w:rsid w:val="00AE021A"/>
    <w:rsid w:val="00AE0A96"/>
    <w:rsid w:val="00AF33D2"/>
    <w:rsid w:val="00B032F9"/>
    <w:rsid w:val="00B041C4"/>
    <w:rsid w:val="00B11B21"/>
    <w:rsid w:val="00B26ED6"/>
    <w:rsid w:val="00B32FC8"/>
    <w:rsid w:val="00B6447F"/>
    <w:rsid w:val="00B64E1A"/>
    <w:rsid w:val="00B73ADD"/>
    <w:rsid w:val="00B7653B"/>
    <w:rsid w:val="00BA2CC7"/>
    <w:rsid w:val="00BA2F46"/>
    <w:rsid w:val="00BC1DDD"/>
    <w:rsid w:val="00BC276B"/>
    <w:rsid w:val="00BC28DA"/>
    <w:rsid w:val="00BC4EA5"/>
    <w:rsid w:val="00BF4AC9"/>
    <w:rsid w:val="00C15745"/>
    <w:rsid w:val="00C157FD"/>
    <w:rsid w:val="00C242A4"/>
    <w:rsid w:val="00C60021"/>
    <w:rsid w:val="00C66B86"/>
    <w:rsid w:val="00C92973"/>
    <w:rsid w:val="00CA0269"/>
    <w:rsid w:val="00CB0AD6"/>
    <w:rsid w:val="00CB2FA4"/>
    <w:rsid w:val="00CC2794"/>
    <w:rsid w:val="00CE230D"/>
    <w:rsid w:val="00CF387D"/>
    <w:rsid w:val="00D03B22"/>
    <w:rsid w:val="00D04133"/>
    <w:rsid w:val="00D043E4"/>
    <w:rsid w:val="00D21A4E"/>
    <w:rsid w:val="00D2705B"/>
    <w:rsid w:val="00D6765A"/>
    <w:rsid w:val="00D85B3D"/>
    <w:rsid w:val="00D861A9"/>
    <w:rsid w:val="00D866AA"/>
    <w:rsid w:val="00D93F01"/>
    <w:rsid w:val="00D960BD"/>
    <w:rsid w:val="00D96431"/>
    <w:rsid w:val="00DA3EDD"/>
    <w:rsid w:val="00DB4400"/>
    <w:rsid w:val="00E14111"/>
    <w:rsid w:val="00E14747"/>
    <w:rsid w:val="00E42E88"/>
    <w:rsid w:val="00E430AE"/>
    <w:rsid w:val="00E46CBF"/>
    <w:rsid w:val="00E5213F"/>
    <w:rsid w:val="00E62714"/>
    <w:rsid w:val="00E67192"/>
    <w:rsid w:val="00E93BF8"/>
    <w:rsid w:val="00E96E8D"/>
    <w:rsid w:val="00EA60CC"/>
    <w:rsid w:val="00EC4362"/>
    <w:rsid w:val="00EC6870"/>
    <w:rsid w:val="00EE5FF6"/>
    <w:rsid w:val="00F071E6"/>
    <w:rsid w:val="00F10293"/>
    <w:rsid w:val="00F242E6"/>
    <w:rsid w:val="00F3568A"/>
    <w:rsid w:val="00F4009E"/>
    <w:rsid w:val="00F42C9F"/>
    <w:rsid w:val="00F50635"/>
    <w:rsid w:val="00F7200B"/>
    <w:rsid w:val="00F81BE8"/>
    <w:rsid w:val="00F91228"/>
    <w:rsid w:val="00F91C83"/>
    <w:rsid w:val="00FB3CC1"/>
    <w:rsid w:val="00FC7072"/>
    <w:rsid w:val="00FD29D7"/>
    <w:rsid w:val="00FD3AC2"/>
    <w:rsid w:val="00FE33A2"/>
    <w:rsid w:val="00FE38B1"/>
    <w:rsid w:val="00FF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E2E6"/>
  <w15:chartTrackingRefBased/>
  <w15:docId w15:val="{64670E05-63B4-4B49-A4B0-8E889312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AE7"/>
    <w:rPr>
      <w:color w:val="0563C1" w:themeColor="hyperlink"/>
      <w:u w:val="single"/>
    </w:rPr>
  </w:style>
  <w:style w:type="character" w:styleId="UnresolvedMention">
    <w:name w:val="Unresolved Mention"/>
    <w:basedOn w:val="DefaultParagraphFont"/>
    <w:uiPriority w:val="99"/>
    <w:semiHidden/>
    <w:unhideWhenUsed/>
    <w:rsid w:val="009B6AE7"/>
    <w:rPr>
      <w:color w:val="605E5C"/>
      <w:shd w:val="clear" w:color="auto" w:fill="E1DFDD"/>
    </w:rPr>
  </w:style>
  <w:style w:type="paragraph" w:styleId="ListParagraph">
    <w:name w:val="List Paragraph"/>
    <w:basedOn w:val="Normal"/>
    <w:uiPriority w:val="34"/>
    <w:qFormat/>
    <w:rsid w:val="00BA2CC7"/>
    <w:pPr>
      <w:ind w:left="720"/>
      <w:contextualSpacing/>
    </w:pPr>
  </w:style>
  <w:style w:type="character" w:styleId="CommentReference">
    <w:name w:val="annotation reference"/>
    <w:basedOn w:val="DefaultParagraphFont"/>
    <w:uiPriority w:val="99"/>
    <w:semiHidden/>
    <w:unhideWhenUsed/>
    <w:rsid w:val="006E1530"/>
    <w:rPr>
      <w:sz w:val="16"/>
      <w:szCs w:val="16"/>
    </w:rPr>
  </w:style>
  <w:style w:type="paragraph" w:styleId="CommentText">
    <w:name w:val="annotation text"/>
    <w:basedOn w:val="Normal"/>
    <w:link w:val="CommentTextChar"/>
    <w:uiPriority w:val="99"/>
    <w:unhideWhenUsed/>
    <w:rsid w:val="006E1530"/>
    <w:pPr>
      <w:spacing w:line="240" w:lineRule="auto"/>
    </w:pPr>
    <w:rPr>
      <w:sz w:val="20"/>
      <w:szCs w:val="20"/>
    </w:rPr>
  </w:style>
  <w:style w:type="character" w:customStyle="1" w:styleId="CommentTextChar">
    <w:name w:val="Comment Text Char"/>
    <w:basedOn w:val="DefaultParagraphFont"/>
    <w:link w:val="CommentText"/>
    <w:uiPriority w:val="99"/>
    <w:rsid w:val="006E1530"/>
    <w:rPr>
      <w:sz w:val="20"/>
      <w:szCs w:val="20"/>
    </w:rPr>
  </w:style>
  <w:style w:type="paragraph" w:styleId="CommentSubject">
    <w:name w:val="annotation subject"/>
    <w:basedOn w:val="CommentText"/>
    <w:next w:val="CommentText"/>
    <w:link w:val="CommentSubjectChar"/>
    <w:uiPriority w:val="99"/>
    <w:semiHidden/>
    <w:unhideWhenUsed/>
    <w:rsid w:val="006E1530"/>
    <w:rPr>
      <w:b/>
      <w:bCs/>
    </w:rPr>
  </w:style>
  <w:style w:type="character" w:customStyle="1" w:styleId="CommentSubjectChar">
    <w:name w:val="Comment Subject Char"/>
    <w:basedOn w:val="CommentTextChar"/>
    <w:link w:val="CommentSubject"/>
    <w:uiPriority w:val="99"/>
    <w:semiHidden/>
    <w:rsid w:val="006E1530"/>
    <w:rPr>
      <w:b/>
      <w:bCs/>
      <w:sz w:val="20"/>
      <w:szCs w:val="20"/>
    </w:rPr>
  </w:style>
  <w:style w:type="paragraph" w:styleId="Revision">
    <w:name w:val="Revision"/>
    <w:hidden/>
    <w:uiPriority w:val="99"/>
    <w:semiHidden/>
    <w:rsid w:val="00F50635"/>
    <w:pPr>
      <w:spacing w:after="0" w:line="240" w:lineRule="auto"/>
    </w:pPr>
  </w:style>
  <w:style w:type="paragraph" w:styleId="Header">
    <w:name w:val="header"/>
    <w:basedOn w:val="Normal"/>
    <w:link w:val="HeaderChar"/>
    <w:uiPriority w:val="99"/>
    <w:unhideWhenUsed/>
    <w:rsid w:val="0039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69"/>
  </w:style>
  <w:style w:type="paragraph" w:styleId="Footer">
    <w:name w:val="footer"/>
    <w:basedOn w:val="Normal"/>
    <w:link w:val="FooterChar"/>
    <w:uiPriority w:val="99"/>
    <w:unhideWhenUsed/>
    <w:rsid w:val="0039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69"/>
  </w:style>
  <w:style w:type="paragraph" w:styleId="FootnoteText">
    <w:name w:val="footnote text"/>
    <w:basedOn w:val="Normal"/>
    <w:link w:val="FootnoteTextChar"/>
    <w:uiPriority w:val="99"/>
    <w:semiHidden/>
    <w:unhideWhenUsed/>
    <w:rsid w:val="00343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ED7"/>
    <w:rPr>
      <w:sz w:val="20"/>
      <w:szCs w:val="20"/>
    </w:rPr>
  </w:style>
  <w:style w:type="character" w:styleId="FootnoteReference">
    <w:name w:val="footnote reference"/>
    <w:basedOn w:val="DefaultParagraphFont"/>
    <w:uiPriority w:val="99"/>
    <w:semiHidden/>
    <w:unhideWhenUsed/>
    <w:rsid w:val="00343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45438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452E-1BC6-4A28-8FAC-B6F72DD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1325</Words>
  <Characters>7556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Alisdair</dc:creator>
  <cp:keywords/>
  <dc:description/>
  <cp:lastModifiedBy>Chichkov, Georgi</cp:lastModifiedBy>
  <cp:revision>5</cp:revision>
  <dcterms:created xsi:type="dcterms:W3CDTF">2023-11-08T10:16:00Z</dcterms:created>
  <dcterms:modified xsi:type="dcterms:W3CDTF">2023-11-10T11:36:00Z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6c9f8ba6db7859505002cf8e7c9464b7365bfc51da5cd01b199c950516f5eeec</vt:lpwstr>
  </property>
</Properties>
</file>